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5" w:rsidRDefault="00373865" w:rsidP="005D5791">
      <w:pPr>
        <w:jc w:val="both"/>
      </w:pPr>
      <w:r>
        <w:t>Kivonat Jászberény Város Önkormányzata Képviselő-testületének 2011. november 9-én megtartott ülésének jegyzőkönyvéből</w:t>
      </w:r>
    </w:p>
    <w:p w:rsidR="00373865" w:rsidRDefault="00373865" w:rsidP="005D5791">
      <w:pPr>
        <w:jc w:val="both"/>
      </w:pPr>
    </w:p>
    <w:p w:rsidR="00373865" w:rsidRDefault="00373865" w:rsidP="005D5791">
      <w:pPr>
        <w:jc w:val="both"/>
      </w:pPr>
    </w:p>
    <w:p w:rsidR="00373865" w:rsidRPr="009D5C9C" w:rsidRDefault="00373865" w:rsidP="00537314">
      <w:pPr>
        <w:jc w:val="both"/>
        <w:rPr>
          <w:b/>
          <w:bCs/>
          <w:i/>
          <w:iCs/>
          <w:u w:val="single"/>
        </w:rPr>
      </w:pPr>
      <w:r w:rsidRPr="009D5C9C">
        <w:rPr>
          <w:b/>
          <w:bCs/>
          <w:i/>
          <w:iCs/>
          <w:u w:val="single"/>
        </w:rPr>
        <w:t>Jászberény Város Önkormányzata Képviselő-testületének</w:t>
      </w:r>
    </w:p>
    <w:p w:rsidR="00373865" w:rsidRPr="00256A57" w:rsidRDefault="00373865" w:rsidP="0053731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283</w:t>
      </w:r>
      <w:r w:rsidRPr="00256A57">
        <w:rPr>
          <w:b/>
          <w:bCs/>
          <w:i/>
          <w:iCs/>
          <w:u w:val="single"/>
        </w:rPr>
        <w:t>/2011. (XI. 9.) Kt. határozata</w:t>
      </w:r>
    </w:p>
    <w:p w:rsidR="00373865" w:rsidRPr="00E45B60" w:rsidRDefault="00373865" w:rsidP="0053731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Jászberény Város Önkormányzata</w:t>
      </w:r>
      <w:r w:rsidRPr="00E45B60">
        <w:rPr>
          <w:b/>
          <w:bCs/>
          <w:i/>
          <w:iCs/>
        </w:rPr>
        <w:t xml:space="preserve"> 20</w:t>
      </w:r>
      <w:r>
        <w:rPr>
          <w:b/>
          <w:bCs/>
          <w:i/>
          <w:iCs/>
        </w:rPr>
        <w:t>12</w:t>
      </w:r>
      <w:r w:rsidRPr="00E45B60">
        <w:rPr>
          <w:b/>
          <w:bCs/>
          <w:i/>
          <w:iCs/>
        </w:rPr>
        <w:t>. évi ellenőrzési tervéről</w:t>
      </w:r>
    </w:p>
    <w:p w:rsidR="00373865" w:rsidRDefault="00373865" w:rsidP="00537314">
      <w:pPr>
        <w:jc w:val="both"/>
      </w:pPr>
    </w:p>
    <w:p w:rsidR="00373865" w:rsidRDefault="00373865" w:rsidP="00537314">
      <w:pPr>
        <w:jc w:val="both"/>
      </w:pPr>
    </w:p>
    <w:p w:rsidR="00373865" w:rsidRDefault="00373865" w:rsidP="00537314">
      <w:pPr>
        <w:jc w:val="both"/>
      </w:pPr>
      <w:r>
        <w:t xml:space="preserve">Jászberény Város Önkormányzatának Képviselő-testülete a helyi önkormányzatokról szóló 1990. évi LXV. törvény 92. § (6) bekezdésében biztosított jogkörében eljárva a határozat mellékletét képező </w:t>
      </w:r>
      <w:r w:rsidRPr="00334880">
        <w:t>Jászberény Város Önkormányzata 2012. évi ellenőrzési tervét</w:t>
      </w:r>
      <w:r>
        <w:t xml:space="preserve"> jóváhagyja.</w:t>
      </w:r>
    </w:p>
    <w:p w:rsidR="00373865" w:rsidRDefault="00373865" w:rsidP="00537314">
      <w:pPr>
        <w:jc w:val="both"/>
      </w:pPr>
    </w:p>
    <w:p w:rsidR="00373865" w:rsidRDefault="00373865" w:rsidP="00537314">
      <w:pPr>
        <w:jc w:val="both"/>
      </w:pPr>
    </w:p>
    <w:p w:rsidR="00373865" w:rsidRDefault="00373865" w:rsidP="00537314">
      <w:pPr>
        <w:jc w:val="both"/>
        <w:rPr>
          <w:i/>
          <w:iCs/>
        </w:rPr>
      </w:pPr>
      <w:r>
        <w:rPr>
          <w:i/>
          <w:iCs/>
        </w:rPr>
        <w:t>Erről:</w:t>
      </w:r>
    </w:p>
    <w:p w:rsidR="00373865" w:rsidRDefault="00373865" w:rsidP="00537314">
      <w:pPr>
        <w:numPr>
          <w:ilvl w:val="0"/>
          <w:numId w:val="3"/>
        </w:numPr>
        <w:jc w:val="both"/>
      </w:pPr>
      <w:r>
        <w:t>Jászberény Város Polgármestere</w:t>
      </w:r>
    </w:p>
    <w:p w:rsidR="00373865" w:rsidRDefault="00373865" w:rsidP="00537314">
      <w:pPr>
        <w:numPr>
          <w:ilvl w:val="0"/>
          <w:numId w:val="3"/>
        </w:numPr>
        <w:jc w:val="both"/>
      </w:pPr>
      <w:r>
        <w:t>Jászberény Város Jegyzője</w:t>
      </w:r>
    </w:p>
    <w:p w:rsidR="00373865" w:rsidRDefault="00373865" w:rsidP="00537314">
      <w:pPr>
        <w:numPr>
          <w:ilvl w:val="0"/>
          <w:numId w:val="3"/>
        </w:numPr>
        <w:jc w:val="both"/>
      </w:pPr>
      <w:r>
        <w:t>Pénzügyi, Gazdasági és Tulajdonosi Bizottság</w:t>
      </w:r>
    </w:p>
    <w:p w:rsidR="00373865" w:rsidRDefault="00373865" w:rsidP="00537314">
      <w:pPr>
        <w:numPr>
          <w:ilvl w:val="0"/>
          <w:numId w:val="3"/>
        </w:numPr>
        <w:jc w:val="both"/>
      </w:pPr>
      <w:r>
        <w:t>Jász-Nagykun-Szolnok Megyei Kormányhivatal, Szolnok</w:t>
      </w:r>
    </w:p>
    <w:p w:rsidR="00373865" w:rsidRDefault="00373865" w:rsidP="00537314">
      <w:pPr>
        <w:numPr>
          <w:ilvl w:val="0"/>
          <w:numId w:val="3"/>
        </w:numPr>
        <w:jc w:val="both"/>
      </w:pPr>
      <w:r>
        <w:t>Képviselő-testület tagjai</w:t>
      </w:r>
    </w:p>
    <w:p w:rsidR="00373865" w:rsidRDefault="00373865" w:rsidP="00537314">
      <w:pPr>
        <w:ind w:left="360"/>
        <w:jc w:val="both"/>
        <w:rPr>
          <w:i/>
          <w:iCs/>
        </w:rPr>
      </w:pPr>
      <w:r>
        <w:rPr>
          <w:i/>
          <w:iCs/>
        </w:rPr>
        <w:t xml:space="preserve">     é r t e s ü l n e k.</w:t>
      </w:r>
    </w:p>
    <w:p w:rsidR="00373865" w:rsidRDefault="00373865" w:rsidP="005D5791">
      <w:pPr>
        <w:jc w:val="both"/>
      </w:pPr>
      <w:bookmarkStart w:id="0" w:name="_GoBack"/>
      <w:bookmarkEnd w:id="0"/>
    </w:p>
    <w:p w:rsidR="00373865" w:rsidRDefault="00373865" w:rsidP="005D5791">
      <w:pPr>
        <w:jc w:val="both"/>
      </w:pPr>
    </w:p>
    <w:p w:rsidR="00373865" w:rsidRDefault="00373865" w:rsidP="005D5791">
      <w:pPr>
        <w:jc w:val="both"/>
      </w:pPr>
    </w:p>
    <w:p w:rsidR="00373865" w:rsidRPr="00C91472" w:rsidRDefault="00373865" w:rsidP="005D5791">
      <w:pPr>
        <w:jc w:val="both"/>
        <w:rPr>
          <w:b/>
          <w:bCs/>
        </w:rPr>
      </w:pPr>
      <w:r w:rsidRPr="00C91472">
        <w:rPr>
          <w:b/>
          <w:bCs/>
        </w:rPr>
        <w:t xml:space="preserve">Dr. </w:t>
      </w:r>
      <w:r>
        <w:rPr>
          <w:b/>
          <w:bCs/>
        </w:rPr>
        <w:t>Szabó Tamás sk.</w:t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>
        <w:rPr>
          <w:b/>
          <w:bCs/>
        </w:rPr>
        <w:t xml:space="preserve">             Dr. Gottdiener Lajos sk.</w:t>
      </w:r>
    </w:p>
    <w:p w:rsidR="00373865" w:rsidRDefault="00373865" w:rsidP="005D5791">
      <w:pPr>
        <w:jc w:val="both"/>
        <w:rPr>
          <w:b/>
          <w:bCs/>
        </w:rPr>
      </w:pPr>
      <w:r>
        <w:rPr>
          <w:b/>
          <w:bCs/>
        </w:rPr>
        <w:t xml:space="preserve">    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C91472">
        <w:rPr>
          <w:b/>
          <w:bCs/>
        </w:rPr>
        <w:t>jegyző</w:t>
      </w:r>
    </w:p>
    <w:p w:rsidR="00373865" w:rsidRDefault="00373865" w:rsidP="005D5791">
      <w:pPr>
        <w:jc w:val="both"/>
      </w:pPr>
    </w:p>
    <w:p w:rsidR="00373865" w:rsidRDefault="00373865" w:rsidP="005D5791">
      <w:pPr>
        <w:jc w:val="both"/>
      </w:pPr>
    </w:p>
    <w:p w:rsidR="00373865" w:rsidRDefault="00373865" w:rsidP="005D5791"/>
    <w:p w:rsidR="00373865" w:rsidRDefault="00373865" w:rsidP="005D5791"/>
    <w:p w:rsidR="00373865" w:rsidRDefault="00373865" w:rsidP="005D5791">
      <w:r>
        <w:t>Kivonat hiteléül:</w:t>
      </w:r>
    </w:p>
    <w:p w:rsidR="00373865" w:rsidRDefault="00373865" w:rsidP="005D5791">
      <w:r>
        <w:t>Jászberény, 2011. november 10.</w:t>
      </w:r>
    </w:p>
    <w:p w:rsidR="00373865" w:rsidRDefault="00373865" w:rsidP="005D5791"/>
    <w:p w:rsidR="00373865" w:rsidRDefault="00373865" w:rsidP="005D5791"/>
    <w:p w:rsidR="00373865" w:rsidRDefault="00373865" w:rsidP="005D5791"/>
    <w:p w:rsidR="00373865" w:rsidRDefault="00373865" w:rsidP="005D5791">
      <w:r>
        <w:t>(Dr. Bessenyei Lilla)</w:t>
      </w:r>
    </w:p>
    <w:p w:rsidR="00373865" w:rsidRDefault="00373865" w:rsidP="005D5791">
      <w:pPr>
        <w:ind w:left="374"/>
      </w:pPr>
      <w:r>
        <w:t>irodavezető</w:t>
      </w:r>
    </w:p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/>
    <w:p w:rsidR="00373865" w:rsidRDefault="00373865" w:rsidP="005939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Jászberény Város Önkormányzata</w:t>
      </w:r>
    </w:p>
    <w:p w:rsidR="00373865" w:rsidRDefault="00373865" w:rsidP="005939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2012. évi ellenőrzési terve</w:t>
      </w:r>
    </w:p>
    <w:p w:rsidR="00373865" w:rsidRDefault="00373865" w:rsidP="005939BB">
      <w:pPr>
        <w:jc w:val="both"/>
      </w:pPr>
    </w:p>
    <w:p w:rsidR="00373865" w:rsidRDefault="00373865" w:rsidP="005939BB">
      <w:pPr>
        <w:jc w:val="both"/>
      </w:pPr>
    </w:p>
    <w:p w:rsidR="00373865" w:rsidRDefault="00373865" w:rsidP="005939BB">
      <w:pPr>
        <w:jc w:val="both"/>
      </w:pPr>
    </w:p>
    <w:p w:rsidR="00373865" w:rsidRDefault="00373865" w:rsidP="005939BB">
      <w:pPr>
        <w:jc w:val="both"/>
      </w:pPr>
      <w:r>
        <w:t>Jászberény Város Önkormányzatának Képviselő-testülete a helyi önkormányzatokról szóló 1990. évi LXV. törvény 92. § (6) bekezdése, valamint a költségvetési szervek belső ellenőrzéséről szóló 193/2003. (XI. 26.) Kormányrendelet 21. §-a szerint az alábbi éves önkormányzati ellenőrzési tervet fogalmazza meg:</w:t>
      </w:r>
    </w:p>
    <w:p w:rsidR="00373865" w:rsidRDefault="00373865" w:rsidP="005939BB">
      <w:pPr>
        <w:jc w:val="both"/>
      </w:pPr>
    </w:p>
    <w:p w:rsidR="00373865" w:rsidRDefault="00373865" w:rsidP="005939BB">
      <w:pPr>
        <w:jc w:val="both"/>
      </w:pPr>
    </w:p>
    <w:p w:rsidR="00373865" w:rsidRDefault="00373865" w:rsidP="005939BB">
      <w:pPr>
        <w:pStyle w:val="BodyText2"/>
      </w:pPr>
      <w:r>
        <w:t>1. A tervet megalapozó elemzések, kockázatelemzések</w:t>
      </w:r>
    </w:p>
    <w:p w:rsidR="00373865" w:rsidRDefault="00373865" w:rsidP="005939BB">
      <w:pPr>
        <w:pStyle w:val="BodyText2"/>
      </w:pPr>
    </w:p>
    <w:p w:rsidR="00373865" w:rsidRDefault="00373865" w:rsidP="005939BB">
      <w:pPr>
        <w:pStyle w:val="BodyText2"/>
        <w:rPr>
          <w:b w:val="0"/>
          <w:bCs w:val="0"/>
        </w:rPr>
      </w:pPr>
      <w:r>
        <w:rPr>
          <w:b w:val="0"/>
          <w:bCs w:val="0"/>
        </w:rPr>
        <w:t>Az éves ellenőrzési tervet megalapozó:</w:t>
      </w:r>
    </w:p>
    <w:p w:rsidR="00373865" w:rsidRDefault="00373865" w:rsidP="005939BB">
      <w:pPr>
        <w:pStyle w:val="BodyText2"/>
        <w:ind w:left="540"/>
        <w:rPr>
          <w:b w:val="0"/>
          <w:bCs w:val="0"/>
        </w:rPr>
      </w:pPr>
      <w:r>
        <w:rPr>
          <w:b w:val="0"/>
          <w:bCs w:val="0"/>
        </w:rPr>
        <w:t>- elemzések, általános felmérések:</w:t>
      </w:r>
    </w:p>
    <w:p w:rsidR="00373865" w:rsidRDefault="00373865" w:rsidP="005939BB">
      <w:pPr>
        <w:pStyle w:val="BodyText2"/>
        <w:tabs>
          <w:tab w:val="left" w:pos="4860"/>
          <w:tab w:val="center" w:leader="dot" w:pos="7920"/>
        </w:tabs>
        <w:ind w:left="720" w:firstLine="720"/>
        <w:rPr>
          <w:b w:val="0"/>
          <w:bCs w:val="0"/>
        </w:rPr>
      </w:pPr>
      <w:r>
        <w:rPr>
          <w:b w:val="0"/>
          <w:bCs w:val="0"/>
        </w:rPr>
        <w:t>- elvégzésének időpontja:    2011.</w:t>
      </w:r>
      <w:r>
        <w:rPr>
          <w:b w:val="0"/>
          <w:bCs w:val="0"/>
        </w:rPr>
        <w:tab/>
        <w:t xml:space="preserve">szeptember hó 12. naptól – </w:t>
      </w:r>
    </w:p>
    <w:p w:rsidR="00373865" w:rsidRDefault="00373865" w:rsidP="005939BB">
      <w:pPr>
        <w:pStyle w:val="BodyText2"/>
        <w:tabs>
          <w:tab w:val="left" w:pos="4860"/>
          <w:tab w:val="center" w:leader="dot" w:pos="7920"/>
        </w:tabs>
        <w:ind w:left="720" w:firstLine="720"/>
        <w:rPr>
          <w:b w:val="0"/>
          <w:bCs w:val="0"/>
        </w:rPr>
      </w:pPr>
      <w:r>
        <w:rPr>
          <w:b w:val="0"/>
          <w:bCs w:val="0"/>
        </w:rPr>
        <w:tab/>
        <w:t>szeptember hó 30. napig;</w:t>
      </w:r>
    </w:p>
    <w:p w:rsidR="00373865" w:rsidRDefault="00373865" w:rsidP="005939BB">
      <w:pPr>
        <w:pStyle w:val="BodyText2"/>
        <w:tabs>
          <w:tab w:val="center" w:leader="dot" w:pos="7920"/>
        </w:tabs>
        <w:ind w:left="720" w:firstLine="720"/>
        <w:rPr>
          <w:b w:val="0"/>
          <w:bCs w:val="0"/>
        </w:rPr>
      </w:pPr>
    </w:p>
    <w:p w:rsidR="00373865" w:rsidRDefault="00373865" w:rsidP="005939BB">
      <w:pPr>
        <w:pStyle w:val="BodyText2"/>
        <w:ind w:left="540"/>
        <w:rPr>
          <w:b w:val="0"/>
          <w:bCs w:val="0"/>
        </w:rPr>
      </w:pPr>
      <w:r>
        <w:rPr>
          <w:b w:val="0"/>
          <w:bCs w:val="0"/>
        </w:rPr>
        <w:t>- kockázatelemzések:</w:t>
      </w:r>
    </w:p>
    <w:p w:rsidR="00373865" w:rsidRDefault="00373865" w:rsidP="005939BB">
      <w:pPr>
        <w:pStyle w:val="BodyText2"/>
        <w:tabs>
          <w:tab w:val="left" w:pos="4860"/>
          <w:tab w:val="center" w:leader="dot" w:pos="7920"/>
        </w:tabs>
        <w:ind w:left="720" w:firstLine="720"/>
        <w:rPr>
          <w:b w:val="0"/>
          <w:bCs w:val="0"/>
        </w:rPr>
      </w:pPr>
      <w:r>
        <w:rPr>
          <w:b w:val="0"/>
          <w:bCs w:val="0"/>
        </w:rPr>
        <w:t xml:space="preserve">- elvégzésének időpontja:    2011. </w:t>
      </w:r>
      <w:r>
        <w:rPr>
          <w:b w:val="0"/>
          <w:bCs w:val="0"/>
        </w:rPr>
        <w:tab/>
        <w:t xml:space="preserve">október hó 3. naptól – </w:t>
      </w:r>
    </w:p>
    <w:p w:rsidR="00373865" w:rsidRDefault="00373865" w:rsidP="005939BB">
      <w:pPr>
        <w:pStyle w:val="BodyText2"/>
        <w:tabs>
          <w:tab w:val="left" w:pos="4860"/>
          <w:tab w:val="center" w:leader="dot" w:pos="7920"/>
        </w:tabs>
        <w:ind w:left="720" w:firstLine="720"/>
        <w:rPr>
          <w:b w:val="0"/>
          <w:bCs w:val="0"/>
        </w:rPr>
      </w:pPr>
      <w:r>
        <w:rPr>
          <w:b w:val="0"/>
          <w:bCs w:val="0"/>
        </w:rPr>
        <w:tab/>
        <w:t>október hó 13. napig;</w:t>
      </w: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pStyle w:val="BodyText2"/>
      </w:pPr>
      <w:r>
        <w:t>a) Az elvégzett (kockázat)elemzések rövid összefoglalása</w:t>
      </w: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pStyle w:val="BodyText2"/>
        <w:rPr>
          <w:b w:val="0"/>
          <w:bCs w:val="0"/>
        </w:rPr>
      </w:pPr>
      <w:r>
        <w:rPr>
          <w:b w:val="0"/>
          <w:bCs w:val="0"/>
        </w:rPr>
        <w:t xml:space="preserve">Az elvégzett elemzések során az önkormányzatnál végzett ellenőrzések tapasztalatait tekintették át. </w:t>
      </w:r>
    </w:p>
    <w:p w:rsidR="00373865" w:rsidRDefault="00373865" w:rsidP="005939BB">
      <w:pPr>
        <w:pStyle w:val="BodyText2"/>
        <w:tabs>
          <w:tab w:val="left" w:leader="dot" w:pos="9360"/>
        </w:tabs>
        <w:rPr>
          <w:b w:val="0"/>
          <w:bCs w:val="0"/>
        </w:rPr>
      </w:pPr>
    </w:p>
    <w:p w:rsidR="00373865" w:rsidRDefault="00373865" w:rsidP="005939BB">
      <w:pPr>
        <w:pStyle w:val="BodyText2"/>
        <w:tabs>
          <w:tab w:val="left" w:leader="dot" w:pos="9360"/>
        </w:tabs>
        <w:rPr>
          <w:b w:val="0"/>
          <w:bCs w:val="0"/>
        </w:rPr>
      </w:pPr>
      <w:r>
        <w:rPr>
          <w:b w:val="0"/>
          <w:bCs w:val="0"/>
        </w:rPr>
        <w:t>Az önkormányzatnál belső ellenőrzés a következő időpontban volt: 2011. 01. 12. – 2011. 10. 12.</w:t>
      </w: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pStyle w:val="BodyText2"/>
        <w:rPr>
          <w:b w:val="0"/>
          <w:bCs w:val="0"/>
        </w:rPr>
      </w:pPr>
      <w:r>
        <w:rPr>
          <w:b w:val="0"/>
          <w:bCs w:val="0"/>
        </w:rPr>
        <w:t>A belső ellenőrzés főbb megállapításai:</w:t>
      </w:r>
    </w:p>
    <w:p w:rsidR="00373865" w:rsidRDefault="00373865" w:rsidP="005939BB">
      <w:pPr>
        <w:pStyle w:val="BodyText2"/>
        <w:tabs>
          <w:tab w:val="left" w:leader="dot" w:pos="9360"/>
        </w:tabs>
        <w:ind w:left="540"/>
        <w:rPr>
          <w:b w:val="0"/>
          <w:bCs w:val="0"/>
        </w:rPr>
      </w:pPr>
      <w:r>
        <w:rPr>
          <w:b w:val="0"/>
          <w:bCs w:val="0"/>
        </w:rPr>
        <w:t>- a normatív állami támogatások igénybevétele jogszerű volt,</w:t>
      </w:r>
    </w:p>
    <w:p w:rsidR="00373865" w:rsidRDefault="00373865" w:rsidP="005939BB">
      <w:pPr>
        <w:pStyle w:val="BodyText2"/>
        <w:tabs>
          <w:tab w:val="left" w:leader="dot" w:pos="9360"/>
        </w:tabs>
        <w:ind w:left="540"/>
        <w:rPr>
          <w:b w:val="0"/>
          <w:bCs w:val="0"/>
        </w:rPr>
      </w:pPr>
      <w:r>
        <w:rPr>
          <w:b w:val="0"/>
          <w:bCs w:val="0"/>
        </w:rPr>
        <w:t>- a vizsgált intézménynél betartották a jogszabályi előírásokat.</w:t>
      </w:r>
    </w:p>
    <w:p w:rsidR="00373865" w:rsidRDefault="00373865" w:rsidP="005939BB">
      <w:pPr>
        <w:pStyle w:val="BodyText2"/>
        <w:tabs>
          <w:tab w:val="left" w:leader="dot" w:pos="9360"/>
        </w:tabs>
        <w:ind w:left="540"/>
        <w:rPr>
          <w:b w:val="0"/>
          <w:bCs w:val="0"/>
        </w:rPr>
      </w:pP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pStyle w:val="BodyText2"/>
      </w:pPr>
      <w:r>
        <w:br w:type="page"/>
      </w:r>
    </w:p>
    <w:p w:rsidR="00373865" w:rsidRDefault="00373865" w:rsidP="005939BB">
      <w:pPr>
        <w:pStyle w:val="BodyText2"/>
      </w:pPr>
      <w:r>
        <w:t>b) A kockázatelemzés eredménye</w:t>
      </w: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pStyle w:val="BodyText2"/>
        <w:rPr>
          <w:b w:val="0"/>
          <w:bCs w:val="0"/>
        </w:rPr>
      </w:pPr>
      <w:r>
        <w:rPr>
          <w:b w:val="0"/>
          <w:bCs w:val="0"/>
        </w:rPr>
        <w:t>Az önkormányzatnál megtörtént a kockázatelemzés, ezen belül:</w:t>
      </w:r>
    </w:p>
    <w:p w:rsidR="00373865" w:rsidRDefault="00373865" w:rsidP="005939BB">
      <w:pPr>
        <w:pStyle w:val="BodyText2"/>
        <w:ind w:left="540"/>
        <w:rPr>
          <w:b w:val="0"/>
          <w:bCs w:val="0"/>
        </w:rPr>
      </w:pPr>
      <w:r>
        <w:rPr>
          <w:b w:val="0"/>
          <w:bCs w:val="0"/>
        </w:rPr>
        <w:t xml:space="preserve">- a működés, tevékenység főfolyamatokra tagolása, </w:t>
      </w:r>
    </w:p>
    <w:p w:rsidR="00373865" w:rsidRDefault="00373865" w:rsidP="005939BB">
      <w:pPr>
        <w:pStyle w:val="BodyText2"/>
        <w:ind w:left="540"/>
        <w:rPr>
          <w:b w:val="0"/>
          <w:bCs w:val="0"/>
        </w:rPr>
      </w:pPr>
      <w:r>
        <w:rPr>
          <w:b w:val="0"/>
          <w:bCs w:val="0"/>
        </w:rPr>
        <w:t xml:space="preserve">- a főfolyamatokon belül a részfolyamatok meghatározása, </w:t>
      </w:r>
    </w:p>
    <w:p w:rsidR="00373865" w:rsidRDefault="00373865" w:rsidP="005939BB">
      <w:pPr>
        <w:pStyle w:val="BodyText2"/>
        <w:ind w:left="540"/>
        <w:rPr>
          <w:b w:val="0"/>
          <w:bCs w:val="0"/>
        </w:rPr>
      </w:pPr>
      <w:r>
        <w:rPr>
          <w:b w:val="0"/>
          <w:bCs w:val="0"/>
        </w:rPr>
        <w:t xml:space="preserve">- az egyes folyamatok céljainak meghatározása és a folyamatok általános jellemzése, </w:t>
      </w:r>
    </w:p>
    <w:p w:rsidR="00373865" w:rsidRDefault="00373865" w:rsidP="005939BB">
      <w:pPr>
        <w:pStyle w:val="BodyText2"/>
        <w:ind w:left="540"/>
        <w:rPr>
          <w:b w:val="0"/>
          <w:bCs w:val="0"/>
        </w:rPr>
      </w:pPr>
      <w:r>
        <w:rPr>
          <w:b w:val="0"/>
          <w:bCs w:val="0"/>
        </w:rPr>
        <w:t xml:space="preserve">- a folyamatokhoz tartozó kockázatok azonosítása, </w:t>
      </w:r>
    </w:p>
    <w:p w:rsidR="00373865" w:rsidRDefault="00373865" w:rsidP="005939BB">
      <w:pPr>
        <w:pStyle w:val="BodyText2"/>
        <w:ind w:left="540"/>
        <w:rPr>
          <w:b w:val="0"/>
          <w:bCs w:val="0"/>
        </w:rPr>
      </w:pPr>
      <w:r>
        <w:rPr>
          <w:b w:val="0"/>
          <w:bCs w:val="0"/>
        </w:rPr>
        <w:t xml:space="preserve">- a kockázatok hatásának és valószínűségének meghatározása, illetve ezek együttes értékelése, elemzése, </w:t>
      </w:r>
    </w:p>
    <w:p w:rsidR="00373865" w:rsidRDefault="00373865" w:rsidP="005939BB">
      <w:pPr>
        <w:pStyle w:val="BodyText2"/>
        <w:ind w:left="540"/>
        <w:rPr>
          <w:b w:val="0"/>
          <w:bCs w:val="0"/>
        </w:rPr>
      </w:pPr>
      <w:r>
        <w:rPr>
          <w:b w:val="0"/>
          <w:bCs w:val="0"/>
        </w:rPr>
        <w:t>- a kockázatok összesítése.</w:t>
      </w: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jc w:val="both"/>
      </w:pPr>
      <w:r>
        <w:t>A kockázatelemzés az alábbi következetésre jutott: a belső ellenőrzési terv összeállításakor kiemelt szempontként kell kezelni a céljelleggel nyújtott támogatások költségvetési rendelet szerinti elszámolásának témakörét.</w:t>
      </w:r>
    </w:p>
    <w:p w:rsidR="00373865" w:rsidRDefault="00373865" w:rsidP="005939BB">
      <w:pPr>
        <w:jc w:val="both"/>
      </w:pP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pStyle w:val="BodyText2"/>
      </w:pPr>
      <w:r>
        <w:t>2. Az elvégzendő ellenőrzés leírása</w:t>
      </w:r>
    </w:p>
    <w:p w:rsidR="00373865" w:rsidRDefault="00373865" w:rsidP="005939BB">
      <w:pPr>
        <w:pStyle w:val="BodyText2"/>
        <w:tabs>
          <w:tab w:val="left" w:leader="dot" w:pos="7938"/>
        </w:tabs>
        <w:rPr>
          <w:b w:val="0"/>
          <w:bCs w:val="0"/>
        </w:rPr>
      </w:pPr>
    </w:p>
    <w:p w:rsidR="00373865" w:rsidRDefault="00373865" w:rsidP="005939BB">
      <w:pPr>
        <w:pStyle w:val="BodyText2"/>
        <w:tabs>
          <w:tab w:val="center" w:leader="dot" w:pos="8460"/>
        </w:tabs>
        <w:rPr>
          <w:b w:val="0"/>
          <w:bCs w:val="0"/>
        </w:rPr>
      </w:pPr>
      <w:r>
        <w:rPr>
          <w:b w:val="0"/>
          <w:bCs w:val="0"/>
        </w:rPr>
        <w:t xml:space="preserve">Az ellenőrzéshez kapcsolható </w:t>
      </w:r>
    </w:p>
    <w:p w:rsidR="00373865" w:rsidRDefault="00373865" w:rsidP="005939BB">
      <w:pPr>
        <w:ind w:firstLine="540"/>
      </w:pPr>
      <w:r>
        <w:t>- főfolyamat: a támogatások elszámolása</w:t>
      </w:r>
    </w:p>
    <w:p w:rsidR="00373865" w:rsidRDefault="00373865" w:rsidP="005939BB">
      <w:pPr>
        <w:ind w:firstLine="540"/>
      </w:pPr>
      <w:r w:rsidRPr="003348B9">
        <w:t xml:space="preserve">- </w:t>
      </w:r>
      <w:r>
        <w:t>folyamatok:</w:t>
      </w:r>
    </w:p>
    <w:p w:rsidR="00373865" w:rsidRDefault="00373865" w:rsidP="005939BB">
      <w:pPr>
        <w:ind w:left="1080"/>
      </w:pPr>
      <w:r>
        <w:t>- a szakmai folyamatok,</w:t>
      </w:r>
    </w:p>
    <w:p w:rsidR="00373865" w:rsidRDefault="00373865" w:rsidP="005939BB">
      <w:pPr>
        <w:ind w:left="1080"/>
        <w:jc w:val="both"/>
      </w:pPr>
      <w:r>
        <w:t>- általában az önkormányzat működésével kapcsolatos dokumentálási feladatok.</w:t>
      </w:r>
    </w:p>
    <w:p w:rsidR="00373865" w:rsidRDefault="00373865" w:rsidP="005939BB"/>
    <w:p w:rsidR="00373865" w:rsidRDefault="00373865" w:rsidP="005939BB">
      <w:pPr>
        <w:pStyle w:val="BodyText2"/>
        <w:tabs>
          <w:tab w:val="center" w:leader="dot" w:pos="8460"/>
        </w:tabs>
        <w:rPr>
          <w:b w:val="0"/>
          <w:bCs w:val="0"/>
        </w:rPr>
      </w:pPr>
      <w:r>
        <w:rPr>
          <w:b w:val="0"/>
          <w:bCs w:val="0"/>
        </w:rPr>
        <w:t>Az ellenőrzéshez kapcsolódó kockázati tényező(k): az elszámolások összesítésére előírt  határidők elmulasztása.</w:t>
      </w:r>
    </w:p>
    <w:p w:rsidR="00373865" w:rsidRDefault="00373865" w:rsidP="005939BB">
      <w:pPr>
        <w:pStyle w:val="BodyText2"/>
        <w:rPr>
          <w:b w:val="0"/>
          <w:bCs w:val="0"/>
        </w:rPr>
      </w:pPr>
    </w:p>
    <w:p w:rsidR="00373865" w:rsidRDefault="00373865" w:rsidP="005939BB">
      <w:pPr>
        <w:pStyle w:val="BodyText2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478"/>
      </w:tblGrid>
      <w:tr w:rsidR="00373865" w:rsidRPr="00AC7FC6">
        <w:trPr>
          <w:jc w:val="center"/>
        </w:trPr>
        <w:tc>
          <w:tcPr>
            <w:tcW w:w="3310" w:type="dxa"/>
          </w:tcPr>
          <w:p w:rsidR="00373865" w:rsidRPr="00AC7FC6" w:rsidRDefault="00373865" w:rsidP="008247F1">
            <w:pPr>
              <w:rPr>
                <w:b/>
                <w:bCs/>
              </w:rPr>
            </w:pPr>
            <w:r w:rsidRPr="00AC7FC6">
              <w:rPr>
                <w:b/>
                <w:bCs/>
              </w:rPr>
              <w:t>Az ellenőrzés tárgya, címe</w:t>
            </w:r>
          </w:p>
        </w:tc>
        <w:tc>
          <w:tcPr>
            <w:tcW w:w="5478" w:type="dxa"/>
          </w:tcPr>
          <w:p w:rsidR="00373865" w:rsidRPr="00AC7FC6" w:rsidRDefault="00373865" w:rsidP="008247F1">
            <w:pPr>
              <w:jc w:val="both"/>
              <w:rPr>
                <w:b/>
                <w:bCs/>
              </w:rPr>
            </w:pPr>
            <w:r w:rsidRPr="00AC7FC6">
              <w:rPr>
                <w:b/>
                <w:bCs/>
              </w:rPr>
              <w:t>Az önkormányzat költségvetéséből céljelleggel nyújtott támogatások rendeltetés szerinti felhasználásának ellenőrzése</w:t>
            </w:r>
          </w:p>
        </w:tc>
      </w:tr>
      <w:tr w:rsidR="00373865">
        <w:trPr>
          <w:jc w:val="center"/>
        </w:trPr>
        <w:tc>
          <w:tcPr>
            <w:tcW w:w="3310" w:type="dxa"/>
          </w:tcPr>
          <w:p w:rsidR="00373865" w:rsidRDefault="00373865" w:rsidP="008247F1">
            <w:pPr>
              <w:jc w:val="both"/>
            </w:pPr>
            <w:r>
              <w:t>Az ellenőrzés célja</w:t>
            </w:r>
          </w:p>
        </w:tc>
        <w:tc>
          <w:tcPr>
            <w:tcW w:w="5478" w:type="dxa"/>
          </w:tcPr>
          <w:p w:rsidR="00373865" w:rsidRDefault="00373865" w:rsidP="008247F1">
            <w:pPr>
              <w:jc w:val="both"/>
            </w:pPr>
            <w:r>
              <w:t>Rendeltetés szerinti felhasználás és határidőben történő elszámolás megállapítása</w:t>
            </w:r>
          </w:p>
        </w:tc>
      </w:tr>
      <w:tr w:rsidR="00373865">
        <w:trPr>
          <w:jc w:val="center"/>
        </w:trPr>
        <w:tc>
          <w:tcPr>
            <w:tcW w:w="3310" w:type="dxa"/>
          </w:tcPr>
          <w:p w:rsidR="00373865" w:rsidRDefault="00373865" w:rsidP="008247F1">
            <w:pPr>
              <w:jc w:val="both"/>
            </w:pPr>
            <w:r>
              <w:t>Az ellenőrizendő időszak</w:t>
            </w:r>
          </w:p>
        </w:tc>
        <w:tc>
          <w:tcPr>
            <w:tcW w:w="5478" w:type="dxa"/>
          </w:tcPr>
          <w:p w:rsidR="00373865" w:rsidRDefault="00373865" w:rsidP="008247F1">
            <w:pPr>
              <w:jc w:val="both"/>
            </w:pPr>
            <w:r>
              <w:t>2011. év</w:t>
            </w:r>
          </w:p>
        </w:tc>
      </w:tr>
      <w:tr w:rsidR="00373865">
        <w:trPr>
          <w:jc w:val="center"/>
        </w:trPr>
        <w:tc>
          <w:tcPr>
            <w:tcW w:w="3310" w:type="dxa"/>
          </w:tcPr>
          <w:p w:rsidR="00373865" w:rsidRDefault="00373865" w:rsidP="008247F1">
            <w:pPr>
              <w:jc w:val="both"/>
            </w:pPr>
            <w:r>
              <w:t>Szükséges ellenőrzési kapacitás</w:t>
            </w:r>
          </w:p>
        </w:tc>
        <w:tc>
          <w:tcPr>
            <w:tcW w:w="5478" w:type="dxa"/>
          </w:tcPr>
          <w:p w:rsidR="00373865" w:rsidRDefault="00373865" w:rsidP="008247F1">
            <w:pPr>
              <w:jc w:val="both"/>
            </w:pPr>
            <w:r>
              <w:t>30 ellenőrzési nap</w:t>
            </w:r>
          </w:p>
        </w:tc>
      </w:tr>
      <w:tr w:rsidR="00373865">
        <w:trPr>
          <w:jc w:val="center"/>
        </w:trPr>
        <w:tc>
          <w:tcPr>
            <w:tcW w:w="3310" w:type="dxa"/>
          </w:tcPr>
          <w:p w:rsidR="00373865" w:rsidRDefault="00373865" w:rsidP="008247F1">
            <w:pPr>
              <w:jc w:val="both"/>
            </w:pPr>
            <w:r>
              <w:t>Az ellenőrzés típusa</w:t>
            </w:r>
          </w:p>
        </w:tc>
        <w:tc>
          <w:tcPr>
            <w:tcW w:w="5478" w:type="dxa"/>
          </w:tcPr>
          <w:p w:rsidR="00373865" w:rsidRDefault="00373865" w:rsidP="008247F1">
            <w:pPr>
              <w:jc w:val="both"/>
            </w:pPr>
            <w:r>
              <w:t>Pénzügyi ellenőrzés</w:t>
            </w:r>
          </w:p>
        </w:tc>
      </w:tr>
      <w:tr w:rsidR="00373865">
        <w:trPr>
          <w:jc w:val="center"/>
        </w:trPr>
        <w:tc>
          <w:tcPr>
            <w:tcW w:w="3310" w:type="dxa"/>
          </w:tcPr>
          <w:p w:rsidR="00373865" w:rsidRDefault="00373865" w:rsidP="008247F1">
            <w:pPr>
              <w:jc w:val="both"/>
            </w:pPr>
            <w:r>
              <w:t>Az ellenőrzés módszere</w:t>
            </w:r>
          </w:p>
        </w:tc>
        <w:tc>
          <w:tcPr>
            <w:tcW w:w="5478" w:type="dxa"/>
          </w:tcPr>
          <w:p w:rsidR="00373865" w:rsidRDefault="00373865" w:rsidP="008247F1">
            <w:pPr>
              <w:jc w:val="both"/>
            </w:pPr>
            <w:r>
              <w:t>Tételes vizsgálat</w:t>
            </w:r>
          </w:p>
        </w:tc>
      </w:tr>
      <w:tr w:rsidR="00373865">
        <w:trPr>
          <w:jc w:val="center"/>
        </w:trPr>
        <w:tc>
          <w:tcPr>
            <w:tcW w:w="3310" w:type="dxa"/>
          </w:tcPr>
          <w:p w:rsidR="00373865" w:rsidRDefault="00373865" w:rsidP="008247F1">
            <w:pPr>
              <w:jc w:val="both"/>
            </w:pPr>
            <w:r>
              <w:t>Az ellenőrzés ütemezése</w:t>
            </w:r>
          </w:p>
        </w:tc>
        <w:tc>
          <w:tcPr>
            <w:tcW w:w="5478" w:type="dxa"/>
          </w:tcPr>
          <w:p w:rsidR="00373865" w:rsidRDefault="00373865" w:rsidP="008247F1">
            <w:pPr>
              <w:jc w:val="both"/>
            </w:pPr>
            <w:r>
              <w:t>2012. XII. hó</w:t>
            </w:r>
          </w:p>
        </w:tc>
      </w:tr>
      <w:tr w:rsidR="00373865">
        <w:trPr>
          <w:jc w:val="center"/>
        </w:trPr>
        <w:tc>
          <w:tcPr>
            <w:tcW w:w="3310" w:type="dxa"/>
          </w:tcPr>
          <w:p w:rsidR="00373865" w:rsidRDefault="00373865" w:rsidP="008247F1">
            <w:pPr>
              <w:jc w:val="both"/>
            </w:pPr>
            <w:r>
              <w:t>Az ellenőrzött szervek</w:t>
            </w:r>
          </w:p>
        </w:tc>
        <w:tc>
          <w:tcPr>
            <w:tcW w:w="5478" w:type="dxa"/>
          </w:tcPr>
          <w:p w:rsidR="00373865" w:rsidRDefault="00373865" w:rsidP="008247F1">
            <w:pPr>
              <w:jc w:val="both"/>
            </w:pPr>
            <w:r>
              <w:t>Támogatásban részesült szervezetek</w:t>
            </w:r>
          </w:p>
        </w:tc>
      </w:tr>
    </w:tbl>
    <w:p w:rsidR="00373865" w:rsidRDefault="00373865" w:rsidP="005939BB">
      <w:pPr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478"/>
      </w:tblGrid>
      <w:tr w:rsidR="00373865">
        <w:trPr>
          <w:jc w:val="center"/>
        </w:trPr>
        <w:tc>
          <w:tcPr>
            <w:tcW w:w="3310" w:type="dxa"/>
          </w:tcPr>
          <w:p w:rsidR="00373865" w:rsidRDefault="00373865" w:rsidP="008247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 ellenőrzés tárgya, címe</w:t>
            </w:r>
          </w:p>
        </w:tc>
        <w:tc>
          <w:tcPr>
            <w:tcW w:w="5478" w:type="dxa"/>
          </w:tcPr>
          <w:p w:rsidR="00373865" w:rsidRDefault="00373865" w:rsidP="008247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Felügyelt önkormányzati szervek működésének,</w:t>
            </w:r>
          </w:p>
          <w:p w:rsidR="00373865" w:rsidRDefault="00373865" w:rsidP="008247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gazdálkodásának ellenőrzése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célja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Az ellenőrzött intézmények működésének, gazdálkodásának értékelése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ellenőrizendő időszak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2010-2011. év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Szükséges ellenőrzési kapacitás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90 ellenőrzési nap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típusa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Átfogó ellenőrzés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módszerei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A költségvetési szervek belső ellenőrzéséről szóló 193/2003. (XI. 26.) Korm. rendelet 26. § (1) bekezdés a-e) pontjaiban meghatározottak szerint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ütemezése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2012. IV. – IX. hó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ellenőrzött szervek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Egyesített Szociális Intézmény</w:t>
            </w:r>
          </w:p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Palotásy János Zeneiskola AMI</w:t>
            </w:r>
          </w:p>
        </w:tc>
      </w:tr>
    </w:tbl>
    <w:p w:rsidR="00373865" w:rsidRPr="005939BB" w:rsidRDefault="00373865" w:rsidP="005939BB">
      <w:pPr>
        <w:jc w:val="both"/>
        <w:rPr>
          <w:b/>
          <w:bCs/>
        </w:rPr>
      </w:pPr>
    </w:p>
    <w:p w:rsidR="00373865" w:rsidRPr="005939BB" w:rsidRDefault="00373865" w:rsidP="005939BB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478"/>
      </w:tblGrid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  <w:rPr>
                <w:b/>
                <w:bCs/>
              </w:rPr>
            </w:pPr>
            <w:r w:rsidRPr="005939BB">
              <w:rPr>
                <w:b/>
                <w:bCs/>
              </w:rPr>
              <w:t>Az ellenőrzés tárgya, címe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jc w:val="both"/>
              <w:rPr>
                <w:b/>
                <w:bCs/>
              </w:rPr>
            </w:pPr>
            <w:r w:rsidRPr="005939BB">
              <w:rPr>
                <w:b/>
                <w:bCs/>
              </w:rPr>
              <w:t>Az intézményi normatív állami hozzájárulás igényjogosultságának ellenőrzése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célja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Igényjogosultság megállapítása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ellenőrizendő időszak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2011. év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Szükséges ellenőrzési kapacitás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100 ellenőrzési nap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típusa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Pénzügyi ellenőrzés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módszere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Tételes vizsgálat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ütemezése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2012. I. - III. hó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ellenőrzött szervek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Normatív állami hozzájárulásban részesülő intézmények</w:t>
            </w:r>
          </w:p>
        </w:tc>
      </w:tr>
    </w:tbl>
    <w:p w:rsidR="00373865" w:rsidRPr="005939BB" w:rsidRDefault="00373865" w:rsidP="005939BB">
      <w:pPr>
        <w:jc w:val="both"/>
        <w:rPr>
          <w:b/>
          <w:bCs/>
        </w:rPr>
      </w:pPr>
    </w:p>
    <w:p w:rsidR="00373865" w:rsidRPr="005939BB" w:rsidRDefault="00373865" w:rsidP="005939BB">
      <w:pPr>
        <w:jc w:val="both"/>
        <w:rPr>
          <w:b/>
          <w:bCs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580"/>
      </w:tblGrid>
      <w:tr w:rsidR="00373865" w:rsidRPr="005939BB">
        <w:tc>
          <w:tcPr>
            <w:tcW w:w="3240" w:type="dxa"/>
          </w:tcPr>
          <w:p w:rsidR="00373865" w:rsidRPr="005939BB" w:rsidRDefault="00373865" w:rsidP="008247F1">
            <w:pPr>
              <w:jc w:val="both"/>
              <w:rPr>
                <w:b/>
                <w:bCs/>
              </w:rPr>
            </w:pPr>
            <w:r w:rsidRPr="005939BB">
              <w:rPr>
                <w:b/>
                <w:bCs/>
              </w:rPr>
              <w:t>Az ellenőrzés tárgya, címe</w:t>
            </w:r>
          </w:p>
        </w:tc>
        <w:tc>
          <w:tcPr>
            <w:tcW w:w="5580" w:type="dxa"/>
          </w:tcPr>
          <w:p w:rsidR="00373865" w:rsidRPr="005939BB" w:rsidRDefault="00373865" w:rsidP="008247F1">
            <w:pPr>
              <w:jc w:val="both"/>
              <w:rPr>
                <w:b/>
                <w:bCs/>
              </w:rPr>
            </w:pPr>
            <w:r w:rsidRPr="005939BB">
              <w:rPr>
                <w:b/>
                <w:bCs/>
              </w:rPr>
              <w:t>A közbeszerzések, illetve a közbeszerzési eljárások vizsgálata</w:t>
            </w:r>
          </w:p>
        </w:tc>
      </w:tr>
      <w:tr w:rsidR="00373865" w:rsidRPr="005939BB">
        <w:tc>
          <w:tcPr>
            <w:tcW w:w="324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célja</w:t>
            </w:r>
          </w:p>
        </w:tc>
        <w:tc>
          <w:tcPr>
            <w:tcW w:w="5580" w:type="dxa"/>
          </w:tcPr>
          <w:p w:rsidR="00373865" w:rsidRPr="005939BB" w:rsidRDefault="00373865" w:rsidP="008247F1">
            <w:r w:rsidRPr="005939BB">
              <w:t>A szabályozottság, a szabályszerűség minőségének megállapítása</w:t>
            </w:r>
          </w:p>
        </w:tc>
      </w:tr>
      <w:tr w:rsidR="00373865" w:rsidRPr="005939BB">
        <w:tc>
          <w:tcPr>
            <w:tcW w:w="324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ellenőrizendő időszak</w:t>
            </w:r>
          </w:p>
        </w:tc>
        <w:tc>
          <w:tcPr>
            <w:tcW w:w="5580" w:type="dxa"/>
          </w:tcPr>
          <w:p w:rsidR="00373865" w:rsidRPr="005939BB" w:rsidRDefault="00373865" w:rsidP="008247F1">
            <w:r w:rsidRPr="005939BB">
              <w:t>2011. év</w:t>
            </w:r>
          </w:p>
        </w:tc>
      </w:tr>
      <w:tr w:rsidR="00373865" w:rsidRPr="005939BB">
        <w:tc>
          <w:tcPr>
            <w:tcW w:w="3240" w:type="dxa"/>
          </w:tcPr>
          <w:p w:rsidR="00373865" w:rsidRPr="005939BB" w:rsidRDefault="00373865" w:rsidP="008247F1">
            <w:r w:rsidRPr="005939BB">
              <w:t>Szükséges ellenőrzési kapacitás</w:t>
            </w:r>
          </w:p>
        </w:tc>
        <w:tc>
          <w:tcPr>
            <w:tcW w:w="5580" w:type="dxa"/>
          </w:tcPr>
          <w:p w:rsidR="00373865" w:rsidRPr="005939BB" w:rsidRDefault="00373865" w:rsidP="008247F1"/>
          <w:p w:rsidR="00373865" w:rsidRPr="005939BB" w:rsidRDefault="00373865" w:rsidP="008247F1">
            <w:r w:rsidRPr="005939BB">
              <w:t>40 ellenőrzési nap</w:t>
            </w:r>
          </w:p>
        </w:tc>
      </w:tr>
      <w:tr w:rsidR="00373865" w:rsidRPr="005939BB">
        <w:tc>
          <w:tcPr>
            <w:tcW w:w="324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típusa</w:t>
            </w:r>
          </w:p>
        </w:tc>
        <w:tc>
          <w:tcPr>
            <w:tcW w:w="5580" w:type="dxa"/>
          </w:tcPr>
          <w:p w:rsidR="00373865" w:rsidRPr="005939BB" w:rsidRDefault="00373865" w:rsidP="008247F1">
            <w:r w:rsidRPr="005939BB">
              <w:t>Célellenőrzés</w:t>
            </w:r>
          </w:p>
        </w:tc>
      </w:tr>
      <w:tr w:rsidR="00373865" w:rsidRPr="005939BB">
        <w:tc>
          <w:tcPr>
            <w:tcW w:w="324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módszere</w:t>
            </w:r>
          </w:p>
        </w:tc>
        <w:tc>
          <w:tcPr>
            <w:tcW w:w="5580" w:type="dxa"/>
          </w:tcPr>
          <w:p w:rsidR="00373865" w:rsidRPr="005939BB" w:rsidRDefault="00373865" w:rsidP="008247F1">
            <w:r w:rsidRPr="005939BB">
              <w:t>A helyszínen kiválasztott közbeszerzések esetében tételes</w:t>
            </w:r>
          </w:p>
        </w:tc>
      </w:tr>
      <w:tr w:rsidR="00373865" w:rsidRPr="005939BB">
        <w:tc>
          <w:tcPr>
            <w:tcW w:w="324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ütemezése</w:t>
            </w:r>
          </w:p>
        </w:tc>
        <w:tc>
          <w:tcPr>
            <w:tcW w:w="5580" w:type="dxa"/>
          </w:tcPr>
          <w:p w:rsidR="00373865" w:rsidRPr="005939BB" w:rsidRDefault="00373865" w:rsidP="008247F1">
            <w:r w:rsidRPr="005939BB">
              <w:t>2012. XI. hó</w:t>
            </w:r>
          </w:p>
        </w:tc>
      </w:tr>
      <w:tr w:rsidR="00373865" w:rsidRPr="005939BB">
        <w:tc>
          <w:tcPr>
            <w:tcW w:w="324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ellenőrzött szerv</w:t>
            </w:r>
          </w:p>
        </w:tc>
        <w:tc>
          <w:tcPr>
            <w:tcW w:w="5580" w:type="dxa"/>
          </w:tcPr>
          <w:p w:rsidR="00373865" w:rsidRPr="005939BB" w:rsidRDefault="00373865" w:rsidP="008247F1">
            <w:r w:rsidRPr="005939BB">
              <w:t>Polgármesteri Hivatal</w:t>
            </w:r>
          </w:p>
        </w:tc>
      </w:tr>
    </w:tbl>
    <w:p w:rsidR="00373865" w:rsidRPr="005939BB" w:rsidRDefault="00373865" w:rsidP="005939B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478"/>
      </w:tblGrid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rPr>
                <w:b/>
                <w:bCs/>
              </w:rPr>
            </w:pPr>
            <w:r w:rsidRPr="005939BB">
              <w:rPr>
                <w:b/>
                <w:bCs/>
              </w:rPr>
              <w:t>Az ellenőrzés tárgya, címe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rPr>
                <w:b/>
                <w:bCs/>
              </w:rPr>
            </w:pPr>
            <w:r w:rsidRPr="005939BB">
              <w:rPr>
                <w:b/>
                <w:bCs/>
              </w:rPr>
              <w:t>Normatív állami hozzájárulás mutatószámainak</w:t>
            </w:r>
          </w:p>
          <w:p w:rsidR="00373865" w:rsidRPr="005939BB" w:rsidRDefault="00373865" w:rsidP="008247F1">
            <w:pPr>
              <w:rPr>
                <w:b/>
                <w:bCs/>
              </w:rPr>
            </w:pPr>
            <w:r w:rsidRPr="005939BB">
              <w:rPr>
                <w:b/>
                <w:bCs/>
              </w:rPr>
              <w:t>ellenőrzése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célja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A közoktatási statisztikák helyességének vizsgálata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ellenőrizendő időszak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2012. október 1.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Szükséges ellenőrzési kapacitás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30 ellenőrzési nap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típusa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Pénzügyi ellenőrzés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módszere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Tételes vizsgálat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ütemezése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2012. X. hó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ellenőrzött szervek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Közoktatási intézmények</w:t>
            </w:r>
          </w:p>
        </w:tc>
      </w:tr>
    </w:tbl>
    <w:p w:rsidR="00373865" w:rsidRPr="005939BB" w:rsidRDefault="00373865" w:rsidP="005939BB">
      <w:pPr>
        <w:jc w:val="both"/>
      </w:pPr>
    </w:p>
    <w:p w:rsidR="00373865" w:rsidRPr="005939BB" w:rsidRDefault="00373865" w:rsidP="005939B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478"/>
      </w:tblGrid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rPr>
                <w:b/>
                <w:bCs/>
              </w:rPr>
            </w:pPr>
            <w:r w:rsidRPr="005939BB">
              <w:rPr>
                <w:b/>
                <w:bCs/>
              </w:rPr>
              <w:t>Az ellenőrzés tárgya, címe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rPr>
                <w:b/>
                <w:bCs/>
              </w:rPr>
            </w:pPr>
            <w:r w:rsidRPr="005939BB">
              <w:rPr>
                <w:b/>
                <w:bCs/>
              </w:rPr>
              <w:t>Belső szabályozottság vizsgálata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célja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A belső szabályozottság ellenőrzése:</w:t>
            </w:r>
          </w:p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- a szervezeti dokumentumokra, valamint</w:t>
            </w:r>
          </w:p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- a pénzügyi-gazdálkodási dokumentumokra kiterjedően</w:t>
            </w:r>
          </w:p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Az ellenőrzés célja, hogy a megjelölt terület ellenőrzésével iránymutatást adjon a FEUVE fejlesztéséhez, megalapozza a belső szabályzatokon alapuló általános feladatellátást.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ellenőrizendő időszak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2011. év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Szükséges ellenőrzési kapacitás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50 ellenőrzési nap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típusa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Utóellenőrzés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módszerei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Tételes vizsgálat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ellenőrzés ütemezése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2012. XI-XII. hó</w:t>
            </w:r>
          </w:p>
        </w:tc>
      </w:tr>
      <w:tr w:rsidR="00373865" w:rsidRPr="005939BB">
        <w:trPr>
          <w:jc w:val="center"/>
        </w:trPr>
        <w:tc>
          <w:tcPr>
            <w:tcW w:w="3310" w:type="dxa"/>
          </w:tcPr>
          <w:p w:rsidR="00373865" w:rsidRPr="005939BB" w:rsidRDefault="00373865" w:rsidP="008247F1">
            <w:pPr>
              <w:jc w:val="both"/>
            </w:pPr>
            <w:r w:rsidRPr="005939BB">
              <w:t>Az ellenőrzött szervek</w:t>
            </w:r>
          </w:p>
        </w:tc>
        <w:tc>
          <w:tcPr>
            <w:tcW w:w="5478" w:type="dxa"/>
          </w:tcPr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Polgármesteri Hivatal</w:t>
            </w:r>
          </w:p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Egyesített Szociális Intézmény</w:t>
            </w:r>
          </w:p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Jászberény Város Óvodai Intézménye</w:t>
            </w:r>
          </w:p>
          <w:p w:rsidR="00373865" w:rsidRPr="005939BB" w:rsidRDefault="00373865" w:rsidP="008247F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939BB">
              <w:rPr>
                <w:sz w:val="24"/>
                <w:szCs w:val="24"/>
              </w:rPr>
              <w:t>Jászberény Városi Önkormányzati Bölcsőde</w:t>
            </w:r>
          </w:p>
        </w:tc>
      </w:tr>
    </w:tbl>
    <w:p w:rsidR="00373865" w:rsidRPr="005939BB" w:rsidRDefault="00373865" w:rsidP="005939BB">
      <w:pPr>
        <w:jc w:val="both"/>
      </w:pPr>
    </w:p>
    <w:p w:rsidR="00373865" w:rsidRPr="005939BB" w:rsidRDefault="00373865" w:rsidP="005939BB">
      <w:pPr>
        <w:jc w:val="both"/>
        <w:rPr>
          <w:b/>
          <w:bCs/>
        </w:rPr>
      </w:pPr>
    </w:p>
    <w:p w:rsidR="00373865" w:rsidRPr="005939BB" w:rsidRDefault="00373865" w:rsidP="005939BB">
      <w:pPr>
        <w:tabs>
          <w:tab w:val="center" w:leader="dot" w:pos="9360"/>
        </w:tabs>
        <w:jc w:val="both"/>
      </w:pPr>
      <w:r w:rsidRPr="005939BB">
        <w:t>J á s z b e r é n y, 2011. október 13.</w:t>
      </w:r>
    </w:p>
    <w:p w:rsidR="00373865" w:rsidRPr="005939BB" w:rsidRDefault="00373865" w:rsidP="005939BB">
      <w:pPr>
        <w:jc w:val="both"/>
      </w:pPr>
    </w:p>
    <w:p w:rsidR="00373865" w:rsidRPr="005939BB" w:rsidRDefault="00373865" w:rsidP="005939BB">
      <w:pPr>
        <w:jc w:val="both"/>
      </w:pPr>
    </w:p>
    <w:p w:rsidR="00373865" w:rsidRPr="005939BB" w:rsidRDefault="00373865" w:rsidP="005939BB">
      <w:pPr>
        <w:tabs>
          <w:tab w:val="center" w:pos="6300"/>
          <w:tab w:val="center" w:leader="dot" w:pos="8640"/>
        </w:tabs>
        <w:ind w:left="4320"/>
        <w:jc w:val="both"/>
        <w:rPr>
          <w:b/>
          <w:bCs/>
          <w:i/>
          <w:iCs/>
        </w:rPr>
      </w:pPr>
      <w:r w:rsidRPr="005939BB">
        <w:rPr>
          <w:b/>
          <w:bCs/>
          <w:i/>
          <w:iCs/>
        </w:rPr>
        <w:t>Készítette</w:t>
      </w:r>
      <w:r w:rsidRPr="005939BB">
        <w:t xml:space="preserve">:             </w:t>
      </w:r>
      <w:r w:rsidRPr="005939BB">
        <w:rPr>
          <w:b/>
          <w:bCs/>
          <w:i/>
          <w:iCs/>
        </w:rPr>
        <w:t>( Tóth János )</w:t>
      </w:r>
    </w:p>
    <w:p w:rsidR="00373865" w:rsidRPr="005939BB" w:rsidRDefault="00373865" w:rsidP="005939BB">
      <w:pPr>
        <w:tabs>
          <w:tab w:val="center" w:pos="6840"/>
        </w:tabs>
        <w:ind w:left="4320"/>
        <w:jc w:val="both"/>
        <w:rPr>
          <w:i/>
          <w:iCs/>
        </w:rPr>
      </w:pPr>
      <w:r w:rsidRPr="005939BB">
        <w:rPr>
          <w:i/>
          <w:iCs/>
        </w:rPr>
        <w:tab/>
        <w:t>belső ellenőrzési vezető</w:t>
      </w:r>
    </w:p>
    <w:p w:rsidR="00373865" w:rsidRPr="005939BB" w:rsidRDefault="00373865" w:rsidP="005939BB">
      <w:pPr>
        <w:jc w:val="both"/>
      </w:pPr>
    </w:p>
    <w:p w:rsidR="00373865" w:rsidRPr="005939BB" w:rsidRDefault="00373865" w:rsidP="005939BB">
      <w:pPr>
        <w:jc w:val="both"/>
      </w:pPr>
    </w:p>
    <w:p w:rsidR="00373865" w:rsidRPr="005939BB" w:rsidRDefault="00373865" w:rsidP="005939BB">
      <w:pPr>
        <w:tabs>
          <w:tab w:val="center" w:leader="dot" w:pos="5580"/>
        </w:tabs>
        <w:jc w:val="both"/>
      </w:pPr>
      <w:r w:rsidRPr="005939BB">
        <w:t>Előzetes jegyzői jóváhagyás időpontja: 2011. október 13.</w:t>
      </w:r>
    </w:p>
    <w:p w:rsidR="00373865" w:rsidRPr="005939BB" w:rsidRDefault="00373865" w:rsidP="005939BB">
      <w:pPr>
        <w:tabs>
          <w:tab w:val="center" w:leader="dot" w:pos="5580"/>
        </w:tabs>
        <w:jc w:val="both"/>
      </w:pPr>
    </w:p>
    <w:p w:rsidR="00373865" w:rsidRPr="005939BB" w:rsidRDefault="00373865" w:rsidP="005939BB">
      <w:pPr>
        <w:tabs>
          <w:tab w:val="center" w:leader="dot" w:pos="5580"/>
        </w:tabs>
        <w:jc w:val="both"/>
      </w:pPr>
    </w:p>
    <w:p w:rsidR="00373865" w:rsidRPr="005939BB" w:rsidRDefault="00373865" w:rsidP="005939BB">
      <w:pPr>
        <w:tabs>
          <w:tab w:val="center" w:leader="dot" w:pos="5580"/>
        </w:tabs>
        <w:ind w:left="4320"/>
        <w:jc w:val="both"/>
        <w:rPr>
          <w:b/>
          <w:bCs/>
          <w:i/>
          <w:iCs/>
        </w:rPr>
      </w:pPr>
      <w:r w:rsidRPr="005939BB">
        <w:rPr>
          <w:b/>
          <w:bCs/>
          <w:i/>
          <w:iCs/>
        </w:rPr>
        <w:t>Jóváhagyta</w:t>
      </w:r>
      <w:r w:rsidRPr="005939BB">
        <w:t xml:space="preserve">:      </w:t>
      </w:r>
      <w:r w:rsidRPr="005939BB">
        <w:rPr>
          <w:b/>
          <w:bCs/>
          <w:i/>
          <w:iCs/>
        </w:rPr>
        <w:t>( Dr. Gottdiener Lajos )</w:t>
      </w:r>
    </w:p>
    <w:p w:rsidR="00373865" w:rsidRPr="005939BB" w:rsidRDefault="00373865" w:rsidP="005939BB">
      <w:pPr>
        <w:tabs>
          <w:tab w:val="center" w:pos="6840"/>
        </w:tabs>
        <w:ind w:left="4320"/>
        <w:jc w:val="both"/>
        <w:rPr>
          <w:i/>
          <w:iCs/>
        </w:rPr>
      </w:pPr>
      <w:r w:rsidRPr="005939BB">
        <w:rPr>
          <w:b/>
          <w:bCs/>
          <w:i/>
          <w:iCs/>
        </w:rPr>
        <w:tab/>
        <w:t xml:space="preserve"> </w:t>
      </w:r>
      <w:r w:rsidRPr="005939BB">
        <w:rPr>
          <w:i/>
          <w:iCs/>
        </w:rPr>
        <w:t>jegyző</w:t>
      </w:r>
    </w:p>
    <w:p w:rsidR="00373865" w:rsidRPr="005939BB" w:rsidRDefault="00373865" w:rsidP="005939BB">
      <w:pPr>
        <w:tabs>
          <w:tab w:val="center" w:leader="dot" w:pos="5580"/>
        </w:tabs>
        <w:jc w:val="both"/>
      </w:pPr>
    </w:p>
    <w:p w:rsidR="00373865" w:rsidRPr="005939BB" w:rsidRDefault="00373865" w:rsidP="005939BB">
      <w:pPr>
        <w:tabs>
          <w:tab w:val="center" w:leader="dot" w:pos="5580"/>
        </w:tabs>
        <w:jc w:val="both"/>
      </w:pPr>
    </w:p>
    <w:p w:rsidR="00373865" w:rsidRPr="005939BB" w:rsidRDefault="00373865" w:rsidP="005939BB">
      <w:pPr>
        <w:tabs>
          <w:tab w:val="center" w:leader="dot" w:pos="5580"/>
        </w:tabs>
        <w:jc w:val="both"/>
        <w:rPr>
          <w:b/>
          <w:bCs/>
          <w:i/>
          <w:iCs/>
          <w:u w:val="single"/>
        </w:rPr>
      </w:pPr>
      <w:r w:rsidRPr="005939BB">
        <w:rPr>
          <w:b/>
          <w:bCs/>
          <w:i/>
          <w:iCs/>
          <w:u w:val="single"/>
        </w:rPr>
        <w:t>Záradék:</w:t>
      </w:r>
    </w:p>
    <w:p w:rsidR="00373865" w:rsidRPr="005939BB" w:rsidRDefault="00373865" w:rsidP="005939BB">
      <w:pPr>
        <w:tabs>
          <w:tab w:val="center" w:leader="dot" w:pos="5580"/>
        </w:tabs>
        <w:jc w:val="both"/>
      </w:pPr>
    </w:p>
    <w:p w:rsidR="00373865" w:rsidRPr="005939BB" w:rsidRDefault="00373865" w:rsidP="005939BB">
      <w:pPr>
        <w:tabs>
          <w:tab w:val="center" w:leader="dot" w:pos="5580"/>
        </w:tabs>
        <w:jc w:val="both"/>
      </w:pPr>
      <w:r w:rsidRPr="005939BB">
        <w:t xml:space="preserve">A 2012. évi ellenőrzési tervet Jászberény Város Önkormányzatának Képviselő-testülete a </w:t>
      </w:r>
      <w:r>
        <w:t>283</w:t>
      </w:r>
      <w:r w:rsidRPr="005939BB">
        <w:t>/2011. (XI. 9.) Kt. határozatával hagyta jóvá.</w:t>
      </w:r>
    </w:p>
    <w:p w:rsidR="00373865" w:rsidRPr="005939BB" w:rsidRDefault="00373865" w:rsidP="005939BB">
      <w:pPr>
        <w:tabs>
          <w:tab w:val="center" w:leader="dot" w:pos="5580"/>
        </w:tabs>
        <w:jc w:val="both"/>
      </w:pPr>
    </w:p>
    <w:p w:rsidR="00373865" w:rsidRPr="005939BB" w:rsidRDefault="00373865" w:rsidP="005939BB">
      <w:pPr>
        <w:tabs>
          <w:tab w:val="center" w:leader="dot" w:pos="5580"/>
        </w:tabs>
        <w:jc w:val="both"/>
      </w:pPr>
    </w:p>
    <w:p w:rsidR="00373865" w:rsidRPr="005939BB" w:rsidRDefault="00373865" w:rsidP="005939BB">
      <w:pPr>
        <w:tabs>
          <w:tab w:val="center" w:leader="dot" w:pos="5580"/>
        </w:tabs>
        <w:jc w:val="both"/>
      </w:pPr>
    </w:p>
    <w:p w:rsidR="00373865" w:rsidRPr="005939BB" w:rsidRDefault="00373865" w:rsidP="005939BB">
      <w:pPr>
        <w:tabs>
          <w:tab w:val="left" w:pos="5580"/>
          <w:tab w:val="left" w:leader="dot" w:pos="8460"/>
        </w:tabs>
        <w:jc w:val="both"/>
        <w:rPr>
          <w:b/>
          <w:bCs/>
          <w:i/>
          <w:iCs/>
        </w:rPr>
      </w:pPr>
      <w:r w:rsidRPr="005939BB">
        <w:rPr>
          <w:b/>
          <w:bCs/>
          <w:i/>
          <w:iCs/>
        </w:rPr>
        <w:tab/>
        <w:t xml:space="preserve">    ( Dr. Gottdiener Lajos )</w:t>
      </w:r>
    </w:p>
    <w:p w:rsidR="00373865" w:rsidRPr="005939BB" w:rsidRDefault="00373865" w:rsidP="005939BB">
      <w:pPr>
        <w:tabs>
          <w:tab w:val="center" w:pos="5580"/>
          <w:tab w:val="center" w:pos="6840"/>
        </w:tabs>
        <w:jc w:val="both"/>
      </w:pPr>
      <w:r w:rsidRPr="005939BB">
        <w:rPr>
          <w:i/>
          <w:iCs/>
        </w:rPr>
        <w:tab/>
      </w:r>
      <w:r w:rsidRPr="005939BB">
        <w:rPr>
          <w:i/>
          <w:iCs/>
        </w:rPr>
        <w:tab/>
        <w:t>jegyző</w:t>
      </w:r>
    </w:p>
    <w:p w:rsidR="00373865" w:rsidRPr="005939BB" w:rsidRDefault="00373865"/>
    <w:sectPr w:rsidR="00373865" w:rsidRPr="005939BB" w:rsidSect="00B6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5D81"/>
    <w:multiLevelType w:val="hybridMultilevel"/>
    <w:tmpl w:val="E34436CE"/>
    <w:lvl w:ilvl="0" w:tplc="F1B43C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91"/>
    <w:rsid w:val="001714C5"/>
    <w:rsid w:val="00256A57"/>
    <w:rsid w:val="0032310C"/>
    <w:rsid w:val="00334880"/>
    <w:rsid w:val="003348B9"/>
    <w:rsid w:val="00373865"/>
    <w:rsid w:val="00400C58"/>
    <w:rsid w:val="00485446"/>
    <w:rsid w:val="00537314"/>
    <w:rsid w:val="005939BB"/>
    <w:rsid w:val="005D5791"/>
    <w:rsid w:val="008247F1"/>
    <w:rsid w:val="009D5C9C"/>
    <w:rsid w:val="00AC7FC6"/>
    <w:rsid w:val="00B60414"/>
    <w:rsid w:val="00C35892"/>
    <w:rsid w:val="00C91472"/>
    <w:rsid w:val="00CF3812"/>
    <w:rsid w:val="00E45B60"/>
    <w:rsid w:val="00F05FDB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D57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5D5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D57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5791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CharCharChar">
    <w:name w:val="Char Char Char Char Char"/>
    <w:basedOn w:val="Normal"/>
    <w:uiPriority w:val="99"/>
    <w:rsid w:val="005D5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939BB"/>
    <w:pPr>
      <w:jc w:val="both"/>
    </w:pPr>
    <w:rPr>
      <w:rFonts w:eastAsia="Calibri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uiPriority w:val="99"/>
    <w:rsid w:val="005939BB"/>
    <w:pPr>
      <w:spacing w:after="160" w:line="240" w:lineRule="exact"/>
    </w:pPr>
    <w:rPr>
      <w:rFonts w:ascii="Verdana" w:eastAsia="Calibri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855</Words>
  <Characters>5907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2011</dc:title>
  <dc:subject/>
  <dc:creator>Dr. Kleinheiszter Tímea</dc:creator>
  <cp:keywords/>
  <dc:description/>
  <cp:lastModifiedBy>ph</cp:lastModifiedBy>
  <cp:revision>3</cp:revision>
  <dcterms:created xsi:type="dcterms:W3CDTF">2011-11-10T08:31:00Z</dcterms:created>
  <dcterms:modified xsi:type="dcterms:W3CDTF">2011-11-10T13:27:00Z</dcterms:modified>
</cp:coreProperties>
</file>