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D2" w:rsidRPr="00560FEF" w:rsidRDefault="009971D2" w:rsidP="009971D2">
      <w:pPr>
        <w:jc w:val="center"/>
        <w:rPr>
          <w:i/>
        </w:rPr>
      </w:pPr>
      <w:r w:rsidRPr="00560FEF">
        <w:rPr>
          <w:i/>
        </w:rPr>
        <w:t>Kivonat a Jászberény Városi Önkormányzat Képviselő-testületének 2019. március 13-án megtartott ülése jegyzőkönyvéből</w:t>
      </w:r>
    </w:p>
    <w:p w:rsidR="009971D2" w:rsidRDefault="009971D2" w:rsidP="009971D2">
      <w:pPr>
        <w:ind w:firstLine="708"/>
        <w:rPr>
          <w:rFonts w:cs="Arial"/>
          <w:b/>
          <w:color w:val="000000"/>
        </w:rPr>
      </w:pPr>
    </w:p>
    <w:p w:rsidR="009971D2" w:rsidRPr="00B11143" w:rsidRDefault="009971D2" w:rsidP="009971D2">
      <w:pPr>
        <w:ind w:firstLine="708"/>
        <w:rPr>
          <w:rFonts w:cs="Arial"/>
          <w:b/>
          <w:color w:val="000000"/>
        </w:rPr>
      </w:pPr>
      <w:r w:rsidRPr="00B11143">
        <w:rPr>
          <w:rFonts w:cs="Arial"/>
          <w:b/>
          <w:color w:val="000000"/>
        </w:rPr>
        <w:t>JÁSZBERÉNY VÁROSI ÖNKORMÁNYZAT KÉPVISELŐ-TESTÜLETÉNEK</w:t>
      </w:r>
    </w:p>
    <w:p w:rsidR="009971D2" w:rsidRPr="00B11143" w:rsidRDefault="009971D2" w:rsidP="009971D2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7/2019. (III. 14.</w:t>
      </w:r>
      <w:r w:rsidRPr="00B11143">
        <w:rPr>
          <w:rFonts w:cs="Arial"/>
          <w:b/>
          <w:color w:val="000000"/>
        </w:rPr>
        <w:t>) önkormányzati rendelete</w:t>
      </w:r>
    </w:p>
    <w:p w:rsidR="009971D2" w:rsidRPr="00B11143" w:rsidRDefault="009971D2" w:rsidP="009971D2">
      <w:pPr>
        <w:rPr>
          <w:rFonts w:cs="Arial"/>
          <w:b/>
          <w:color w:val="000000"/>
        </w:rPr>
      </w:pPr>
    </w:p>
    <w:p w:rsidR="009971D2" w:rsidRPr="00B11143" w:rsidRDefault="009971D2" w:rsidP="009971D2">
      <w:pPr>
        <w:jc w:val="center"/>
        <w:outlineLvl w:val="0"/>
        <w:rPr>
          <w:rFonts w:cs="Arial"/>
          <w:b/>
          <w:color w:val="000000"/>
        </w:rPr>
      </w:pPr>
      <w:r w:rsidRPr="00B11143">
        <w:rPr>
          <w:rFonts w:cs="Arial"/>
          <w:b/>
          <w:bCs/>
          <w:color w:val="000000"/>
        </w:rPr>
        <w:t>Jászberény</w:t>
      </w:r>
      <w:r w:rsidRPr="00B11143">
        <w:rPr>
          <w:rFonts w:cs="Arial"/>
          <w:b/>
          <w:color w:val="000000"/>
        </w:rPr>
        <w:t xml:space="preserve"> Város Helyi Építési Szabályzatáról és Szabályozási Tervének jóváhagyásáról szóló 4/2017. (II. 20.) önkormányzati rendelet módosításáról</w:t>
      </w:r>
    </w:p>
    <w:p w:rsidR="009971D2" w:rsidRPr="00B11143" w:rsidRDefault="009971D2" w:rsidP="009971D2">
      <w:pPr>
        <w:rPr>
          <w:rFonts w:cs="Arial"/>
          <w:b/>
          <w:color w:val="000000"/>
        </w:rPr>
      </w:pPr>
    </w:p>
    <w:p w:rsidR="009971D2" w:rsidRPr="00284B62" w:rsidRDefault="009971D2" w:rsidP="009971D2">
      <w:pPr>
        <w:tabs>
          <w:tab w:val="left" w:pos="426"/>
        </w:tabs>
        <w:ind w:left="567"/>
        <w:contextualSpacing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 xml:space="preserve">A Jászberény Városi Önkormányzat Képviselő-testülete az épített környezet alakításáról és védelméről szóló 1997. évi LXXVIII. törvény 62. § (6) bekezdés 6. pontjában kapott felhatalmazás alapján, az Alaptörvény 32. cikk (1) bekezdés a) pontjában, a Magyarország helyi önkormányzatairól szóló 2011. évi CLXXXIX. törvény 13.§ (1) bekezdés 1. pontjában, az </w:t>
      </w:r>
      <w:proofErr w:type="spellStart"/>
      <w:r w:rsidRPr="00B11143">
        <w:rPr>
          <w:rFonts w:cs="Arial"/>
          <w:color w:val="000000"/>
        </w:rPr>
        <w:t>építetett</w:t>
      </w:r>
      <w:proofErr w:type="spellEnd"/>
      <w:r w:rsidRPr="00B11143">
        <w:rPr>
          <w:rFonts w:cs="Arial"/>
          <w:color w:val="000000"/>
        </w:rPr>
        <w:t xml:space="preserve"> környezet alakításáról és védelméről szóló 1997. évi LXXVIII. törvény 6. § (1) bekezdésében és 13. § (1) bekezdésében meghatározott feladatkörében eljárva, a településfejlesztési </w:t>
      </w:r>
      <w:proofErr w:type="gramStart"/>
      <w:r w:rsidRPr="00B11143">
        <w:rPr>
          <w:rFonts w:cs="Arial"/>
          <w:color w:val="000000"/>
        </w:rPr>
        <w:t>koncepcióról</w:t>
      </w:r>
      <w:proofErr w:type="gramEnd"/>
      <w:r w:rsidRPr="00B11143">
        <w:rPr>
          <w:rFonts w:cs="Arial"/>
          <w:color w:val="000000"/>
        </w:rPr>
        <w:t xml:space="preserve">, az integrált településfejlesztési stratégiáról és a településrendezési eszközökről, valamint egyes településrendezési jogintézményekről szóló 314/2012. (XI. 8.) Korm. rendelet 28. </w:t>
      </w:r>
      <w:proofErr w:type="gramStart"/>
      <w:r w:rsidRPr="00B11143">
        <w:rPr>
          <w:rFonts w:cs="Arial"/>
          <w:color w:val="000000"/>
        </w:rPr>
        <w:t>§ (1) bekezdésében</w:t>
      </w:r>
      <w:r>
        <w:rPr>
          <w:rFonts w:cs="Arial"/>
          <w:color w:val="000000"/>
        </w:rPr>
        <w:t xml:space="preserve">, </w:t>
      </w:r>
      <w:r w:rsidRPr="00284B62">
        <w:rPr>
          <w:rFonts w:cs="Arial"/>
          <w:color w:val="000000"/>
        </w:rPr>
        <w:t xml:space="preserve">valamint </w:t>
      </w:r>
      <w:r w:rsidRPr="00284B62">
        <w:rPr>
          <w:iCs/>
          <w:color w:val="000000"/>
        </w:rPr>
        <w:t>a településfejlesztéssel, településrendezéssel és településkép-érvényesítéssel összefüggő partnerségi egyeztetés helyi szabályiról szóló 19/2017.(X.12.) önkormányzati rendeletben meghatározott partnerek számára</w:t>
      </w:r>
      <w:r w:rsidRPr="00B11143">
        <w:rPr>
          <w:rFonts w:cs="Arial"/>
          <w:color w:val="000000"/>
        </w:rPr>
        <w:t xml:space="preserve"> biztosított véleményezési jogkörében eljáró Jász - Nagykun - Szolnok Megyei Kormányhivatal Kormánymegbízotti Kabinet Állami Főépítész, Jász - Nagykun - Szolnok Megyei Kormányhivatal Népegészségügyi Főosztály, Jász – Nagykun - Szolnok Megyei Kormányhivatal Szolnoki Járási Hivatala Építésügyi és Örökségvédelmi Osztály, Jász – Nagykun - Szolnok Megyei Katasztrófavédelmi</w:t>
      </w:r>
      <w:proofErr w:type="gramEnd"/>
      <w:r w:rsidRPr="00B11143">
        <w:rPr>
          <w:rFonts w:cs="Arial"/>
          <w:color w:val="000000"/>
        </w:rPr>
        <w:t xml:space="preserve"> </w:t>
      </w:r>
      <w:proofErr w:type="gramStart"/>
      <w:r w:rsidRPr="00B11143">
        <w:rPr>
          <w:rFonts w:cs="Arial"/>
          <w:color w:val="000000"/>
        </w:rPr>
        <w:t xml:space="preserve">Igazgatóság, Jász - Nagykun - Szolnok Megyei Kormányhivatal Hatósági Főosztály Bányászati Osztály, Jász - Nagykun - Szolnok Megyei Kormányhivatal Élelmiszerlánc-biztonsági és Földhivatali Főosztály, Jász - Nagykun - Szolnok Megyei Kormányhivatal Szolnoki Járási Hivatal Környezetvédelmi és Természetvédelmi Főosztály, Jász – Nagykun - Szolnok Megyei Rendőr-főkapitányság Gazdasági Igazgatóság, Jász – Nagykun - Szolnok Megyei </w:t>
      </w:r>
      <w:proofErr w:type="spellStart"/>
      <w:r w:rsidRPr="00B11143">
        <w:rPr>
          <w:rFonts w:cs="Arial"/>
          <w:color w:val="000000"/>
        </w:rPr>
        <w:t>Közgyűlés,Hortobágyi</w:t>
      </w:r>
      <w:proofErr w:type="spellEnd"/>
      <w:r w:rsidRPr="00B11143">
        <w:rPr>
          <w:rFonts w:cs="Arial"/>
          <w:color w:val="000000"/>
        </w:rPr>
        <w:t xml:space="preserve"> Nemzeti Park Igazgatóság, Hajdú – Bihar Megyei Kormányhivatal Debreceni Járási Hivatal Agrárügyi Főosztály Erdőfelügyeleti Osztály, Honvédelmi Minisztérium</w:t>
      </w:r>
      <w:proofErr w:type="gramEnd"/>
      <w:r w:rsidRPr="00B11143">
        <w:rPr>
          <w:rFonts w:cs="Arial"/>
          <w:color w:val="000000"/>
        </w:rPr>
        <w:t xml:space="preserve"> Hatósági Főosztály, Jász – Nagykun - Szolnok Megyei Kormányhivatal Szolnoki Járási Hivatal Műszaki Engedélyezési, Fogyasztóvédelmi és Foglalkoztatási Főosztály Útügyi Osztály, Nemzeti Média- és Hírközlési Hatóság Hivatala, Közép-Tisza-vidéki Vízügyi Igazgatóság, Magyar Közút Nonprofit </w:t>
      </w:r>
      <w:proofErr w:type="spellStart"/>
      <w:r w:rsidRPr="00B11143">
        <w:rPr>
          <w:rFonts w:cs="Arial"/>
          <w:color w:val="000000"/>
        </w:rPr>
        <w:t>Zrt</w:t>
      </w:r>
      <w:proofErr w:type="spellEnd"/>
      <w:r w:rsidRPr="00B11143">
        <w:rPr>
          <w:rFonts w:cs="Arial"/>
          <w:color w:val="000000"/>
        </w:rPr>
        <w:t xml:space="preserve">. </w:t>
      </w:r>
      <w:proofErr w:type="gramStart"/>
      <w:r w:rsidRPr="00B11143">
        <w:rPr>
          <w:rFonts w:cs="Arial"/>
          <w:color w:val="000000"/>
        </w:rPr>
        <w:t xml:space="preserve">Jász-Nagykun-Szolnok Megyei Igazgatóság, TIGÁZ-DSO Földgázelosztó Kft., ÉMÁSZ Hálózati Kft., </w:t>
      </w:r>
      <w:r w:rsidRPr="00C42B96">
        <w:rPr>
          <w:rFonts w:cs="Arial"/>
          <w:color w:val="000000"/>
        </w:rPr>
        <w:t>JNSZM-i Önkormányzat</w:t>
      </w:r>
      <w:r w:rsidRPr="00B11143">
        <w:rPr>
          <w:rFonts w:cs="Arial"/>
          <w:color w:val="000000"/>
        </w:rPr>
        <w:t xml:space="preserve">, Megyei Főépítész, </w:t>
      </w:r>
      <w:r>
        <w:rPr>
          <w:rFonts w:cs="Arial"/>
          <w:color w:val="000000"/>
        </w:rPr>
        <w:t>Innovációs és Technológiai Minisztérium</w:t>
      </w:r>
      <w:r w:rsidRPr="00B11143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Nemzeti Közlekedési Hatóság Légügyi Hivatal</w:t>
      </w:r>
      <w:r w:rsidRPr="00B11143">
        <w:rPr>
          <w:rFonts w:cs="Arial"/>
          <w:color w:val="000000"/>
        </w:rPr>
        <w:t xml:space="preserve">, Jászberényi Vagyonkezelő és Városüzemeltető Nonprofit </w:t>
      </w:r>
      <w:proofErr w:type="spellStart"/>
      <w:r w:rsidRPr="00B11143">
        <w:rPr>
          <w:rFonts w:cs="Arial"/>
          <w:color w:val="000000"/>
        </w:rPr>
        <w:t>Zrt</w:t>
      </w:r>
      <w:proofErr w:type="spellEnd"/>
      <w:r w:rsidRPr="00B11143">
        <w:rPr>
          <w:rFonts w:cs="Arial"/>
          <w:color w:val="000000"/>
        </w:rPr>
        <w:t xml:space="preserve">., </w:t>
      </w:r>
      <w:r w:rsidRPr="00C42B96">
        <w:rPr>
          <w:rFonts w:cs="Arial"/>
          <w:color w:val="000000"/>
        </w:rPr>
        <w:t>Pusztamonostor Községi Önkormányzat, Tápiószele Városi Önkormányzat, Farmos Községi Önkormányzat, Jánoshida Községi Önkormányzat, Jászágó Községi Önkormányzat, Jászárokszállás Városi Önkormányzat, Jászboldogháza Községi Önkormányzat, Jászdózsa Községi Önkormányzat, Jászfelsőszentgyörgy Községi Önkormányzat, Jászjákóhalma</w:t>
      </w:r>
      <w:proofErr w:type="gramEnd"/>
      <w:r w:rsidRPr="00C42B96">
        <w:rPr>
          <w:rFonts w:cs="Arial"/>
          <w:color w:val="000000"/>
        </w:rPr>
        <w:t xml:space="preserve"> </w:t>
      </w:r>
      <w:proofErr w:type="gramStart"/>
      <w:r w:rsidRPr="00C42B96">
        <w:rPr>
          <w:rFonts w:cs="Arial"/>
          <w:color w:val="000000"/>
        </w:rPr>
        <w:t>Községi Önkormányzat, Jásztelek Községi Önkormányzat, Nagykáta Városi Önkormányzat</w:t>
      </w:r>
      <w:r>
        <w:rPr>
          <w:rFonts w:cs="Arial"/>
          <w:color w:val="000000"/>
        </w:rPr>
        <w:t xml:space="preserve">, Országos Vízügyi Főigazgatóság, Budapest Főváros Kormányhivatala, Közlekedési Főosztály, Miniszterelnökség Örökségvédelmi Hatósági Főosztály, Országos Atomenergia Hivatal, Budapest Főváros Kormányhivatala, Népegészségügyi Főosztály, </w:t>
      </w:r>
      <w:r w:rsidRPr="00C44B34">
        <w:rPr>
          <w:iCs/>
        </w:rPr>
        <w:t xml:space="preserve">Tiszamenti Regionális Vízművek </w:t>
      </w:r>
      <w:proofErr w:type="spellStart"/>
      <w:r w:rsidRPr="00C44B34">
        <w:rPr>
          <w:iCs/>
        </w:rPr>
        <w:t>Zrt</w:t>
      </w:r>
      <w:proofErr w:type="spellEnd"/>
      <w:r w:rsidRPr="00C44B34">
        <w:rPr>
          <w:iCs/>
        </w:rPr>
        <w:t>.,</w:t>
      </w:r>
      <w:r w:rsidRPr="0087440B">
        <w:rPr>
          <w:iCs/>
        </w:rPr>
        <w:t xml:space="preserve"> </w:t>
      </w:r>
      <w:r>
        <w:rPr>
          <w:iCs/>
        </w:rPr>
        <w:t xml:space="preserve">Városvédő és Városszépítő Egyesület, </w:t>
      </w:r>
      <w:r w:rsidRPr="00C44B34">
        <w:rPr>
          <w:iCs/>
        </w:rPr>
        <w:t xml:space="preserve"> </w:t>
      </w:r>
      <w:r>
        <w:rPr>
          <w:iCs/>
        </w:rPr>
        <w:t xml:space="preserve">valamint </w:t>
      </w:r>
      <w:r w:rsidRPr="00C44B34">
        <w:rPr>
          <w:iCs/>
        </w:rPr>
        <w:t xml:space="preserve">a település közigazgatási területén </w:t>
      </w:r>
      <w:r w:rsidRPr="00C44B34">
        <w:rPr>
          <w:iCs/>
        </w:rPr>
        <w:lastRenderedPageBreak/>
        <w:t>állandó lakóhellyel, tartózkodási hellyel, vagy ingatlantulajdonnal rendelkező természetes személyek,</w:t>
      </w:r>
      <w:r>
        <w:t xml:space="preserve"> </w:t>
      </w:r>
      <w:r w:rsidRPr="00C44B34">
        <w:rPr>
          <w:iCs/>
        </w:rPr>
        <w:t>a település közigazgatási területén ingatlannal rendelkezni jogosul</w:t>
      </w:r>
      <w:proofErr w:type="gramEnd"/>
      <w:r w:rsidRPr="00C44B34">
        <w:rPr>
          <w:iCs/>
        </w:rPr>
        <w:t xml:space="preserve">t </w:t>
      </w:r>
      <w:proofErr w:type="gramStart"/>
      <w:r w:rsidRPr="00C44B34">
        <w:rPr>
          <w:iCs/>
        </w:rPr>
        <w:t>jogi</w:t>
      </w:r>
      <w:proofErr w:type="gramEnd"/>
      <w:r w:rsidRPr="00C44B34">
        <w:rPr>
          <w:iCs/>
        </w:rPr>
        <w:t xml:space="preserve"> személy vagy jogi személyiséggel nem rendelkező szervezet</w:t>
      </w:r>
      <w:r>
        <w:rPr>
          <w:iCs/>
        </w:rPr>
        <w:t>ek</w:t>
      </w:r>
      <w:r w:rsidRPr="00C44B34">
        <w:rPr>
          <w:iCs/>
        </w:rPr>
        <w:t>,</w:t>
      </w:r>
      <w:r>
        <w:t xml:space="preserve"> </w:t>
      </w:r>
      <w:r w:rsidRPr="00C44B34">
        <w:rPr>
          <w:iCs/>
        </w:rPr>
        <w:t xml:space="preserve">a jászberényi székhellyel, telephellyel </w:t>
      </w:r>
      <w:r>
        <w:rPr>
          <w:iCs/>
        </w:rPr>
        <w:t>rendelkező gazdálkodó szervezetek,</w:t>
      </w:r>
      <w:r>
        <w:t xml:space="preserve"> </w:t>
      </w:r>
      <w:r w:rsidRPr="00C44B34">
        <w:rPr>
          <w:iCs/>
        </w:rPr>
        <w:t>a jászberényi székhell</w:t>
      </w:r>
      <w:r>
        <w:rPr>
          <w:iCs/>
        </w:rPr>
        <w:t xml:space="preserve">yel bejegyzett civil szervezetek, </w:t>
      </w:r>
      <w:r w:rsidRPr="00C44B34">
        <w:rPr>
          <w:iCs/>
        </w:rPr>
        <w:t xml:space="preserve">a környezet védelmének általános szabályairól szóló 1995. évi LIII. törvény 98. § (2) bekezdés c) pontja alapján a véleményezési eljárásába Jászberény Város Polgármesterénél (a továbbiakban: polgármester) írásban bejelentkező egyéb érdekképviseleti szervezet, </w:t>
      </w:r>
      <w:r>
        <w:rPr>
          <w:iCs/>
        </w:rPr>
        <w:t>valamint a lakosság</w:t>
      </w:r>
    </w:p>
    <w:p w:rsidR="009971D2" w:rsidRPr="00C44B34" w:rsidRDefault="009971D2" w:rsidP="009971D2">
      <w:pPr>
        <w:jc w:val="both"/>
        <w:rPr>
          <w:color w:val="FF0000"/>
        </w:rPr>
      </w:pPr>
    </w:p>
    <w:p w:rsidR="009971D2" w:rsidRPr="00B11143" w:rsidRDefault="009971D2" w:rsidP="009971D2">
      <w:pPr>
        <w:spacing w:before="240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 xml:space="preserve"> </w:t>
      </w:r>
      <w:proofErr w:type="gramStart"/>
      <w:r w:rsidRPr="00B11143">
        <w:rPr>
          <w:rFonts w:cs="Arial"/>
          <w:color w:val="000000"/>
        </w:rPr>
        <w:t>véleményének</w:t>
      </w:r>
      <w:proofErr w:type="gramEnd"/>
      <w:r w:rsidRPr="00B11143">
        <w:rPr>
          <w:rFonts w:cs="Arial"/>
          <w:color w:val="000000"/>
        </w:rPr>
        <w:t xml:space="preserve"> kikérésével a következőket rendeli el:</w:t>
      </w:r>
    </w:p>
    <w:p w:rsidR="009971D2" w:rsidRPr="00B11143" w:rsidRDefault="009971D2" w:rsidP="009971D2">
      <w:pPr>
        <w:jc w:val="both"/>
        <w:rPr>
          <w:rFonts w:cs="Arial"/>
          <w:color w:val="000000"/>
        </w:rPr>
      </w:pPr>
    </w:p>
    <w:p w:rsidR="009971D2" w:rsidRPr="00B11143" w:rsidRDefault="009971D2" w:rsidP="009971D2">
      <w:pPr>
        <w:jc w:val="center"/>
        <w:rPr>
          <w:rFonts w:cs="Arial"/>
        </w:rPr>
      </w:pPr>
      <w:r w:rsidRPr="00B11143">
        <w:rPr>
          <w:rFonts w:cs="Arial"/>
          <w:b/>
        </w:rPr>
        <w:t>1. §</w:t>
      </w:r>
    </w:p>
    <w:p w:rsidR="009971D2" w:rsidRPr="00B11143" w:rsidRDefault="009971D2" w:rsidP="009971D2">
      <w:pPr>
        <w:jc w:val="both"/>
        <w:rPr>
          <w:rFonts w:cs="Arial"/>
        </w:rPr>
      </w:pPr>
    </w:p>
    <w:p w:rsidR="009971D2" w:rsidRPr="00B11143" w:rsidRDefault="009971D2" w:rsidP="009971D2">
      <w:pPr>
        <w:jc w:val="both"/>
        <w:rPr>
          <w:rFonts w:cs="Arial"/>
        </w:rPr>
      </w:pPr>
      <w:r w:rsidRPr="00B11143">
        <w:rPr>
          <w:rFonts w:cs="Arial"/>
        </w:rPr>
        <w:t xml:space="preserve">(1) A </w:t>
      </w:r>
      <w:r w:rsidRPr="00B11143">
        <w:rPr>
          <w:rFonts w:cs="Arial"/>
          <w:bCs/>
          <w:color w:val="000000"/>
        </w:rPr>
        <w:t>Jászberény</w:t>
      </w:r>
      <w:r w:rsidRPr="00B11143">
        <w:rPr>
          <w:rFonts w:cs="Arial"/>
          <w:color w:val="000000"/>
        </w:rPr>
        <w:t xml:space="preserve"> Város Helyi Építési Szabályzatáról és Szabályozási Tervének jóváhagyásáról szóló 4/2017. (II. 20.) önkormányzati rendelet (a továbbiakban: </w:t>
      </w:r>
      <w:r w:rsidRPr="00B11143">
        <w:rPr>
          <w:rFonts w:cs="Arial"/>
        </w:rPr>
        <w:t>Rendelet) 2. §-</w:t>
      </w:r>
      <w:proofErr w:type="gramStart"/>
      <w:r w:rsidRPr="00B11143">
        <w:rPr>
          <w:rFonts w:cs="Arial"/>
        </w:rPr>
        <w:t>a</w:t>
      </w:r>
      <w:proofErr w:type="gramEnd"/>
      <w:r w:rsidRPr="00B11143">
        <w:rPr>
          <w:rFonts w:cs="Arial"/>
        </w:rPr>
        <w:t xml:space="preserve"> az alábbi 11. ponttal egészül ki:</w:t>
      </w:r>
    </w:p>
    <w:p w:rsidR="009971D2" w:rsidRPr="00B11143" w:rsidRDefault="009971D2" w:rsidP="009971D2">
      <w:pPr>
        <w:ind w:firstLine="708"/>
        <w:jc w:val="both"/>
        <w:rPr>
          <w:rFonts w:cs="Arial"/>
          <w:i/>
        </w:rPr>
      </w:pPr>
      <w:r w:rsidRPr="00B11143">
        <w:rPr>
          <w:rFonts w:cs="Arial"/>
        </w:rPr>
        <w:t>„</w:t>
      </w:r>
      <w:r w:rsidRPr="00B11143">
        <w:rPr>
          <w:rFonts w:cs="Arial"/>
          <w:i/>
          <w:color w:val="000000"/>
        </w:rPr>
        <w:t>11.</w:t>
      </w:r>
      <w:r w:rsidRPr="00B11143">
        <w:rPr>
          <w:rFonts w:cs="Arial"/>
          <w:color w:val="000000"/>
        </w:rPr>
        <w:t xml:space="preserve"> </w:t>
      </w:r>
      <w:r w:rsidRPr="00B11143">
        <w:rPr>
          <w:rFonts w:cs="Arial"/>
          <w:i/>
          <w:color w:val="000000"/>
        </w:rPr>
        <w:t xml:space="preserve">Településképet rontó állapotú építmény: </w:t>
      </w:r>
    </w:p>
    <w:p w:rsidR="009971D2" w:rsidRPr="00B11143" w:rsidRDefault="009971D2" w:rsidP="009971D2">
      <w:pPr>
        <w:ind w:left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 xml:space="preserve">-olyan építmény, vagy építményrészlet, mely megjelenésével, (építészeti) kialakításával, leromlott állapotával, </w:t>
      </w:r>
      <w:proofErr w:type="gramStart"/>
      <w:r w:rsidRPr="00B11143">
        <w:rPr>
          <w:rFonts w:cs="Arial"/>
          <w:color w:val="000000"/>
        </w:rPr>
        <w:t>reklámok</w:t>
      </w:r>
      <w:proofErr w:type="gramEnd"/>
      <w:r w:rsidRPr="00B11143">
        <w:rPr>
          <w:rFonts w:cs="Arial"/>
          <w:color w:val="000000"/>
        </w:rPr>
        <w:t xml:space="preserve"> esetében elhelyezkedésével vagy méretével, kialakításával zavarja a településképet.</w:t>
      </w:r>
    </w:p>
    <w:p w:rsidR="009971D2" w:rsidRPr="00B11143" w:rsidRDefault="009971D2" w:rsidP="009971D2">
      <w:pPr>
        <w:ind w:left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-épületek esetében, közterületről látszó felületeken, az alábbi feltételek bármelyikének megléte esetén:</w:t>
      </w:r>
    </w:p>
    <w:p w:rsidR="009971D2" w:rsidRPr="00B11143" w:rsidRDefault="009971D2" w:rsidP="009971D2">
      <w:pPr>
        <w:ind w:left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-bármelyik nyílászáró üvegezése törött, hiányos,</w:t>
      </w:r>
    </w:p>
    <w:p w:rsidR="009971D2" w:rsidRPr="00B11143" w:rsidRDefault="009971D2" w:rsidP="009971D2">
      <w:pPr>
        <w:ind w:left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-a falazaton, lábazaton 1 %-</w:t>
      </w:r>
      <w:proofErr w:type="spellStart"/>
      <w:r w:rsidRPr="00B11143">
        <w:rPr>
          <w:rFonts w:cs="Arial"/>
          <w:color w:val="000000"/>
        </w:rPr>
        <w:t>nál</w:t>
      </w:r>
      <w:proofErr w:type="spellEnd"/>
      <w:r w:rsidRPr="00B11143">
        <w:rPr>
          <w:rFonts w:cs="Arial"/>
          <w:color w:val="000000"/>
        </w:rPr>
        <w:t xml:space="preserve"> több vakolathiány, díszítővakolat hiány, burkolt fal esetén 1 %-</w:t>
      </w:r>
      <w:proofErr w:type="spellStart"/>
      <w:r w:rsidRPr="00B11143">
        <w:rPr>
          <w:rFonts w:cs="Arial"/>
          <w:color w:val="000000"/>
        </w:rPr>
        <w:t>nál</w:t>
      </w:r>
      <w:proofErr w:type="spellEnd"/>
      <w:r w:rsidRPr="00B11143">
        <w:rPr>
          <w:rFonts w:cs="Arial"/>
          <w:color w:val="000000"/>
        </w:rPr>
        <w:t xml:space="preserve"> több burkolathiány van, </w:t>
      </w:r>
    </w:p>
    <w:p w:rsidR="009971D2" w:rsidRPr="00B11143" w:rsidRDefault="009971D2" w:rsidP="009971D2">
      <w:pPr>
        <w:ind w:firstLine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-a nyílászárók felületkezelése 5 %-</w:t>
      </w:r>
      <w:proofErr w:type="spellStart"/>
      <w:r w:rsidRPr="00B11143">
        <w:rPr>
          <w:rFonts w:cs="Arial"/>
          <w:color w:val="000000"/>
        </w:rPr>
        <w:t>nál</w:t>
      </w:r>
      <w:proofErr w:type="spellEnd"/>
      <w:r w:rsidRPr="00B11143">
        <w:rPr>
          <w:rFonts w:cs="Arial"/>
          <w:color w:val="000000"/>
        </w:rPr>
        <w:t xml:space="preserve"> nagyobb mértékben hiányos,</w:t>
      </w:r>
    </w:p>
    <w:p w:rsidR="009971D2" w:rsidRPr="00B11143" w:rsidRDefault="009971D2" w:rsidP="009971D2">
      <w:pPr>
        <w:ind w:firstLine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-a bádogos szerkezetek 5 %-</w:t>
      </w:r>
      <w:proofErr w:type="spellStart"/>
      <w:r w:rsidRPr="00B11143">
        <w:rPr>
          <w:rFonts w:cs="Arial"/>
          <w:color w:val="000000"/>
        </w:rPr>
        <w:t>nál</w:t>
      </w:r>
      <w:proofErr w:type="spellEnd"/>
      <w:r w:rsidRPr="00B11143">
        <w:rPr>
          <w:rFonts w:cs="Arial"/>
          <w:color w:val="000000"/>
        </w:rPr>
        <w:t xml:space="preserve"> nagyobb mértékben rozsdásak</w:t>
      </w:r>
    </w:p>
    <w:p w:rsidR="009971D2" w:rsidRPr="00B11143" w:rsidRDefault="009971D2" w:rsidP="009971D2">
      <w:pPr>
        <w:ind w:left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-az ereszcsatornák a csatornaelemek csatlakozásánál nem zárnak, így a közterületre folyatják a vizet,</w:t>
      </w:r>
    </w:p>
    <w:p w:rsidR="009971D2" w:rsidRPr="00B11143" w:rsidRDefault="009971D2" w:rsidP="009971D2">
      <w:pPr>
        <w:ind w:firstLine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-a tetőfedések, kémények anyaga 5 %-</w:t>
      </w:r>
      <w:proofErr w:type="spellStart"/>
      <w:r w:rsidRPr="00B11143">
        <w:rPr>
          <w:rFonts w:cs="Arial"/>
          <w:color w:val="000000"/>
        </w:rPr>
        <w:t>nál</w:t>
      </w:r>
      <w:proofErr w:type="spellEnd"/>
      <w:r w:rsidRPr="00B11143">
        <w:rPr>
          <w:rFonts w:cs="Arial"/>
          <w:color w:val="000000"/>
        </w:rPr>
        <w:t xml:space="preserve"> nagyobb mértékben károsodott,</w:t>
      </w:r>
    </w:p>
    <w:p w:rsidR="009971D2" w:rsidRPr="00B11143" w:rsidRDefault="009971D2" w:rsidP="009971D2">
      <w:pPr>
        <w:ind w:left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-festett felületképzésű szerkezetek esetén (kivéve nyílászárók) 1 %-</w:t>
      </w:r>
      <w:proofErr w:type="spellStart"/>
      <w:r w:rsidRPr="00B11143">
        <w:rPr>
          <w:rFonts w:cs="Arial"/>
          <w:color w:val="000000"/>
        </w:rPr>
        <w:t>nál</w:t>
      </w:r>
      <w:proofErr w:type="spellEnd"/>
      <w:r w:rsidRPr="00B11143">
        <w:rPr>
          <w:rFonts w:cs="Arial"/>
          <w:color w:val="000000"/>
        </w:rPr>
        <w:t xml:space="preserve"> több festékhiány van,</w:t>
      </w:r>
    </w:p>
    <w:p w:rsidR="009971D2" w:rsidRPr="00B11143" w:rsidRDefault="009971D2" w:rsidP="009971D2">
      <w:pPr>
        <w:ind w:firstLine="708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 xml:space="preserve">-ereszdeszkázat, </w:t>
      </w:r>
      <w:proofErr w:type="spellStart"/>
      <w:r w:rsidRPr="00B11143">
        <w:rPr>
          <w:rFonts w:cs="Arial"/>
          <w:color w:val="000000"/>
        </w:rPr>
        <w:t>tokolás</w:t>
      </w:r>
      <w:proofErr w:type="spellEnd"/>
      <w:r w:rsidRPr="00B11143">
        <w:rPr>
          <w:rFonts w:cs="Arial"/>
          <w:color w:val="000000"/>
        </w:rPr>
        <w:t>, oromfali burkolat hiányos,</w:t>
      </w:r>
    </w:p>
    <w:p w:rsidR="009971D2" w:rsidRPr="00B11143" w:rsidRDefault="009971D2" w:rsidP="009971D2">
      <w:pPr>
        <w:jc w:val="both"/>
        <w:rPr>
          <w:rFonts w:cs="Arial"/>
        </w:rPr>
      </w:pPr>
    </w:p>
    <w:p w:rsidR="009971D2" w:rsidRPr="00B11143" w:rsidRDefault="009971D2" w:rsidP="009971D2">
      <w:pPr>
        <w:jc w:val="both"/>
        <w:rPr>
          <w:rFonts w:cs="Arial"/>
        </w:rPr>
      </w:pPr>
      <w:r w:rsidRPr="00B11143">
        <w:rPr>
          <w:rFonts w:cs="Arial"/>
        </w:rPr>
        <w:t>(2) A Rendelet az alábbi 18/</w:t>
      </w:r>
      <w:proofErr w:type="gramStart"/>
      <w:r w:rsidRPr="00B11143">
        <w:rPr>
          <w:rFonts w:cs="Arial"/>
        </w:rPr>
        <w:t>A</w:t>
      </w:r>
      <w:proofErr w:type="gramEnd"/>
      <w:r w:rsidRPr="00B11143">
        <w:rPr>
          <w:rFonts w:cs="Arial"/>
        </w:rPr>
        <w:t>. §-</w:t>
      </w:r>
      <w:proofErr w:type="spellStart"/>
      <w:r w:rsidRPr="00B11143">
        <w:rPr>
          <w:rFonts w:cs="Arial"/>
        </w:rPr>
        <w:t>sal</w:t>
      </w:r>
      <w:proofErr w:type="spellEnd"/>
      <w:r w:rsidRPr="00B11143">
        <w:rPr>
          <w:rFonts w:cs="Arial"/>
        </w:rPr>
        <w:t xml:space="preserve"> egészül ki:</w:t>
      </w:r>
    </w:p>
    <w:p w:rsidR="009971D2" w:rsidRPr="00B11143" w:rsidRDefault="009971D2" w:rsidP="009971D2">
      <w:pPr>
        <w:jc w:val="both"/>
        <w:rPr>
          <w:rFonts w:cs="Arial"/>
          <w:color w:val="000000"/>
        </w:rPr>
      </w:pPr>
      <w:r w:rsidRPr="00B11143">
        <w:rPr>
          <w:rFonts w:cs="Arial"/>
        </w:rPr>
        <w:tab/>
        <w:t>„</w:t>
      </w:r>
      <w:r w:rsidRPr="00B11143">
        <w:rPr>
          <w:rFonts w:cs="Arial"/>
          <w:b/>
          <w:color w:val="000000"/>
        </w:rPr>
        <w:t>18/A. §</w:t>
      </w:r>
      <w:r w:rsidRPr="00B11143">
        <w:rPr>
          <w:rFonts w:cs="Arial"/>
          <w:color w:val="000000"/>
        </w:rPr>
        <w:t xml:space="preserve"> Településrendezési kötelezés </w:t>
      </w:r>
    </w:p>
    <w:p w:rsidR="009971D2" w:rsidRPr="00B11143" w:rsidRDefault="009971D2" w:rsidP="009971D2">
      <w:pPr>
        <w:ind w:left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(1)</w:t>
      </w:r>
      <w:r w:rsidRPr="00B11143">
        <w:rPr>
          <w:rFonts w:cs="Arial"/>
          <w:color w:val="000000"/>
        </w:rPr>
        <w:t xml:space="preserve"> A településképet rontó állapotú ingatlan tulajdonosát a </w:t>
      </w:r>
      <w:proofErr w:type="gramStart"/>
      <w:r w:rsidRPr="00B11143">
        <w:rPr>
          <w:rFonts w:cs="Arial"/>
          <w:color w:val="000000"/>
        </w:rPr>
        <w:t>polgármester írásban</w:t>
      </w:r>
      <w:proofErr w:type="gramEnd"/>
      <w:r w:rsidRPr="00B11143">
        <w:rPr>
          <w:rFonts w:cs="Arial"/>
          <w:color w:val="000000"/>
        </w:rPr>
        <w:t xml:space="preserve"> felszólítja – megfelelő határidő biztosításával – az adott ingatlan helyrehozatalára.</w:t>
      </w:r>
    </w:p>
    <w:p w:rsidR="009971D2" w:rsidRPr="00B11143" w:rsidRDefault="009971D2" w:rsidP="009971D2">
      <w:pPr>
        <w:ind w:left="851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(2) Az (1) bekezdés szerinti határidő eredménytelen eltelte esetén a polgármester – önkormányzati hatósági döntés formájában – a településkép javítása érdekében, a településképet rontó állapotú ingatlan tulajdonosát az ingatlan meghatározott időn belüli helyrehozatalára kötelezi az általános közigazgatási rendtartásról szóló mindenkor hatályos törvény rendelkezései alapján.</w:t>
      </w:r>
    </w:p>
    <w:p w:rsidR="009971D2" w:rsidRPr="00B11143" w:rsidRDefault="009971D2" w:rsidP="009971D2">
      <w:pPr>
        <w:ind w:left="851"/>
        <w:jc w:val="both"/>
        <w:rPr>
          <w:rFonts w:cs="Arial"/>
          <w:color w:val="000000"/>
        </w:rPr>
      </w:pPr>
      <w:r w:rsidRPr="00B11143">
        <w:rPr>
          <w:rFonts w:cs="Arial"/>
          <w:color w:val="000000"/>
        </w:rPr>
        <w:t>(3) A polgármester helyrehozatali kötelezést tartalmazó döntése ellen jogorvoslattal a Képviselő-testülethez lehet fordulni.</w:t>
      </w:r>
    </w:p>
    <w:p w:rsidR="009971D2" w:rsidRPr="00B11143" w:rsidRDefault="009971D2" w:rsidP="009971D2">
      <w:pPr>
        <w:ind w:left="851"/>
        <w:jc w:val="both"/>
        <w:rPr>
          <w:rFonts w:cs="Arial"/>
          <w:color w:val="000000"/>
        </w:rPr>
      </w:pPr>
      <w:r w:rsidRPr="00B11143">
        <w:rPr>
          <w:rFonts w:cs="Arial"/>
          <w:bCs/>
          <w:color w:val="000000"/>
        </w:rPr>
        <w:t xml:space="preserve">(4) </w:t>
      </w:r>
      <w:r w:rsidRPr="00B11143">
        <w:rPr>
          <w:rFonts w:cs="Arial"/>
          <w:color w:val="000000"/>
        </w:rPr>
        <w:t>Az (2) bekezdésben foglaltak teljesítésének elmaradása esetén, az ingatlan tulajdonosával szemben – a jogsértő személyétől függően – természetes személyek esetén 200.000 forintig, jogi személyek és jogi személyiséggel rendelkező szervezetek esetén 1.000.000 forintig terjedő pénzbírság szabható ki.</w:t>
      </w:r>
    </w:p>
    <w:p w:rsidR="009971D2" w:rsidRPr="00B11143" w:rsidRDefault="009971D2" w:rsidP="009971D2">
      <w:pPr>
        <w:ind w:left="851"/>
        <w:jc w:val="both"/>
        <w:rPr>
          <w:rFonts w:cs="Arial"/>
          <w:color w:val="000000"/>
        </w:rPr>
      </w:pPr>
      <w:r w:rsidRPr="00B11143">
        <w:rPr>
          <w:rFonts w:cs="Arial"/>
          <w:bCs/>
          <w:color w:val="000000"/>
        </w:rPr>
        <w:lastRenderedPageBreak/>
        <w:t xml:space="preserve">(5) </w:t>
      </w:r>
      <w:r w:rsidRPr="00B11143">
        <w:rPr>
          <w:rFonts w:cs="Arial"/>
          <w:color w:val="000000"/>
        </w:rPr>
        <w:t xml:space="preserve">A bírság kiszabása esetén </w:t>
      </w:r>
      <w:r w:rsidRPr="00B11143">
        <w:rPr>
          <w:rFonts w:cs="Arial"/>
          <w:bCs/>
          <w:color w:val="000000"/>
        </w:rPr>
        <w:t>a közigazgatási szabályszegések szankcióiról szóló mindenkor hatályos külön jogszabály rendelkezéseit kell alkalmazni.</w:t>
      </w:r>
    </w:p>
    <w:p w:rsidR="009971D2" w:rsidRPr="00B11143" w:rsidRDefault="009971D2" w:rsidP="009971D2">
      <w:pPr>
        <w:ind w:left="851"/>
        <w:jc w:val="both"/>
        <w:rPr>
          <w:rFonts w:cs="Arial"/>
          <w:color w:val="000000"/>
        </w:rPr>
      </w:pPr>
      <w:r w:rsidRPr="00B11143">
        <w:rPr>
          <w:rFonts w:cs="Arial"/>
          <w:bCs/>
          <w:color w:val="000000"/>
        </w:rPr>
        <w:t>(6) A bírság megfizetése nem mentesíti a kötelezettet a döntés végrehajtásának kötelezettsége alól.”</w:t>
      </w:r>
    </w:p>
    <w:p w:rsidR="009971D2" w:rsidRPr="00B11143" w:rsidRDefault="009971D2" w:rsidP="009971D2">
      <w:pPr>
        <w:jc w:val="both"/>
        <w:rPr>
          <w:rFonts w:cs="Arial"/>
          <w:i/>
          <w:color w:val="000000"/>
        </w:rPr>
      </w:pPr>
    </w:p>
    <w:p w:rsidR="009971D2" w:rsidRPr="00B11143" w:rsidRDefault="009971D2" w:rsidP="009971D2">
      <w:pPr>
        <w:jc w:val="both"/>
        <w:rPr>
          <w:rFonts w:cs="Arial"/>
        </w:rPr>
      </w:pPr>
      <w:r w:rsidRPr="00B11143">
        <w:rPr>
          <w:rFonts w:cs="Arial"/>
        </w:rPr>
        <w:t>(3) A Rendelet 34. §-</w:t>
      </w:r>
      <w:proofErr w:type="gramStart"/>
      <w:r w:rsidRPr="00B11143">
        <w:rPr>
          <w:rFonts w:cs="Arial"/>
        </w:rPr>
        <w:t>a</w:t>
      </w:r>
      <w:proofErr w:type="gramEnd"/>
      <w:r w:rsidRPr="00B11143">
        <w:rPr>
          <w:rFonts w:cs="Arial"/>
        </w:rPr>
        <w:t xml:space="preserve"> az alábbi (7) bekezdéssel egészül ki:</w:t>
      </w:r>
    </w:p>
    <w:p w:rsidR="009971D2" w:rsidRPr="00B11143" w:rsidRDefault="009971D2" w:rsidP="009971D2">
      <w:pPr>
        <w:ind w:left="846" w:hanging="348"/>
        <w:jc w:val="both"/>
        <w:rPr>
          <w:rFonts w:cs="Arial"/>
          <w:color w:val="000000"/>
        </w:rPr>
      </w:pPr>
      <w:r w:rsidRPr="00B11143">
        <w:rPr>
          <w:rFonts w:cs="Arial"/>
        </w:rPr>
        <w:tab/>
        <w:t xml:space="preserve">(7) </w:t>
      </w:r>
      <w:r w:rsidRPr="00B11143">
        <w:rPr>
          <w:rFonts w:cs="Arial"/>
          <w:color w:val="000000"/>
        </w:rPr>
        <w:t>Az építési telkek a közterület felől legfeljebb 2,20 m magas kerítéssel elkeríthetők.”</w:t>
      </w:r>
    </w:p>
    <w:p w:rsidR="009971D2" w:rsidRPr="00B11143" w:rsidRDefault="009971D2" w:rsidP="009971D2">
      <w:pPr>
        <w:ind w:left="846" w:hanging="348"/>
        <w:jc w:val="both"/>
        <w:rPr>
          <w:rFonts w:cs="Arial"/>
          <w:color w:val="000000"/>
        </w:rPr>
      </w:pPr>
    </w:p>
    <w:p w:rsidR="009971D2" w:rsidRPr="00B11143" w:rsidRDefault="009971D2" w:rsidP="009971D2">
      <w:pPr>
        <w:jc w:val="both"/>
        <w:rPr>
          <w:rFonts w:cs="Arial"/>
        </w:rPr>
      </w:pPr>
      <w:r w:rsidRPr="00B11143">
        <w:rPr>
          <w:rFonts w:cs="Arial"/>
        </w:rPr>
        <w:t>(4) A Rendelet 35. § (2) bekezdése az alábbi d) ponttal egészül ki:</w:t>
      </w:r>
    </w:p>
    <w:p w:rsidR="009971D2" w:rsidRPr="00B11143" w:rsidRDefault="009971D2" w:rsidP="009971D2">
      <w:pPr>
        <w:ind w:left="709" w:hanging="1"/>
        <w:jc w:val="both"/>
        <w:rPr>
          <w:rFonts w:cs="Arial"/>
        </w:rPr>
      </w:pPr>
      <w:r w:rsidRPr="00B11143">
        <w:rPr>
          <w:rFonts w:cs="Arial"/>
        </w:rPr>
        <w:t xml:space="preserve">„d) </w:t>
      </w:r>
      <w:proofErr w:type="gramStart"/>
      <w:r w:rsidRPr="00B11143">
        <w:rPr>
          <w:rFonts w:cs="Arial"/>
        </w:rPr>
        <w:t>A</w:t>
      </w:r>
      <w:proofErr w:type="gramEnd"/>
      <w:r w:rsidRPr="00B11143">
        <w:rPr>
          <w:rFonts w:cs="Arial"/>
        </w:rPr>
        <w:t xml:space="preserve"> telkek területe terepszint alatt 100 %-</w:t>
      </w:r>
      <w:proofErr w:type="spellStart"/>
      <w:r w:rsidRPr="00B11143">
        <w:rPr>
          <w:rFonts w:cs="Arial"/>
        </w:rPr>
        <w:t>osan</w:t>
      </w:r>
      <w:proofErr w:type="spellEnd"/>
      <w:r w:rsidRPr="00B11143">
        <w:rPr>
          <w:rFonts w:cs="Arial"/>
        </w:rPr>
        <w:t xml:space="preserve"> beépíthető, a védőtávolságok betartásával.”</w:t>
      </w:r>
    </w:p>
    <w:p w:rsidR="009971D2" w:rsidRPr="00B11143" w:rsidRDefault="009971D2" w:rsidP="009971D2">
      <w:pPr>
        <w:ind w:firstLine="708"/>
        <w:jc w:val="both"/>
        <w:rPr>
          <w:rFonts w:cs="Arial"/>
        </w:rPr>
      </w:pPr>
    </w:p>
    <w:p w:rsidR="009971D2" w:rsidRPr="00B11143" w:rsidRDefault="009971D2" w:rsidP="009971D2">
      <w:pPr>
        <w:jc w:val="both"/>
        <w:rPr>
          <w:rFonts w:cs="Arial"/>
        </w:rPr>
      </w:pPr>
      <w:r w:rsidRPr="00B11143">
        <w:rPr>
          <w:rFonts w:cs="Arial"/>
        </w:rPr>
        <w:t>(5) A Rendelet 35. §-</w:t>
      </w:r>
      <w:proofErr w:type="gramStart"/>
      <w:r w:rsidRPr="00B11143">
        <w:rPr>
          <w:rFonts w:cs="Arial"/>
        </w:rPr>
        <w:t>a</w:t>
      </w:r>
      <w:proofErr w:type="gramEnd"/>
      <w:r w:rsidRPr="00B11143">
        <w:rPr>
          <w:rFonts w:cs="Arial"/>
        </w:rPr>
        <w:t xml:space="preserve"> az alábbi (7)-(8) bekezdésekkel egészül ki:</w:t>
      </w:r>
    </w:p>
    <w:p w:rsidR="009971D2" w:rsidRPr="00B11143" w:rsidRDefault="009971D2" w:rsidP="009971D2">
      <w:pPr>
        <w:ind w:left="708"/>
        <w:jc w:val="both"/>
        <w:rPr>
          <w:rFonts w:cs="Arial"/>
        </w:rPr>
      </w:pPr>
      <w:r w:rsidRPr="00B11143">
        <w:rPr>
          <w:rFonts w:cs="Arial"/>
        </w:rPr>
        <w:t>„(7) A lakóépületek épülethossza, illetve az utcavonalra helyezett merőleges vonal mentén mért lakóépület hossza a telekmélység irányában legfeljebb 30 m lehet.</w:t>
      </w:r>
    </w:p>
    <w:p w:rsidR="009971D2" w:rsidRPr="00B11143" w:rsidRDefault="009971D2" w:rsidP="009971D2">
      <w:pPr>
        <w:ind w:left="708"/>
        <w:jc w:val="both"/>
        <w:rPr>
          <w:rFonts w:cs="Arial"/>
        </w:rPr>
      </w:pPr>
      <w:r w:rsidRPr="00B11143">
        <w:rPr>
          <w:rFonts w:cs="Arial"/>
        </w:rPr>
        <w:t xml:space="preserve">(8) A telkeken melléképítmény csak a </w:t>
      </w:r>
      <w:proofErr w:type="spellStart"/>
      <w:r w:rsidRPr="00B11143">
        <w:rPr>
          <w:rFonts w:cs="Arial"/>
        </w:rPr>
        <w:t>főfunkciót</w:t>
      </w:r>
      <w:proofErr w:type="spellEnd"/>
      <w:r w:rsidRPr="00B11143">
        <w:rPr>
          <w:rFonts w:cs="Arial"/>
        </w:rPr>
        <w:t xml:space="preserve"> befogadó épül</w:t>
      </w:r>
      <w:r>
        <w:rPr>
          <w:rFonts w:cs="Arial"/>
        </w:rPr>
        <w:t xml:space="preserve">et létesítése után </w:t>
      </w:r>
      <w:proofErr w:type="gramStart"/>
      <w:r>
        <w:rPr>
          <w:rFonts w:cs="Arial"/>
        </w:rPr>
        <w:t>maximálisan</w:t>
      </w:r>
      <w:proofErr w:type="gramEnd"/>
      <w:r>
        <w:rPr>
          <w:rFonts w:cs="Arial"/>
        </w:rPr>
        <w:t xml:space="preserve"> 10</w:t>
      </w:r>
      <w:r w:rsidRPr="00B11143">
        <w:rPr>
          <w:rFonts w:cs="Arial"/>
        </w:rPr>
        <w:t>0,0 m</w:t>
      </w:r>
      <w:r w:rsidRPr="00B11143">
        <w:rPr>
          <w:rFonts w:cs="Arial"/>
          <w:vertAlign w:val="superscript"/>
        </w:rPr>
        <w:t>2</w:t>
      </w:r>
      <w:r w:rsidRPr="00B11143">
        <w:rPr>
          <w:rFonts w:cs="Arial"/>
        </w:rPr>
        <w:t xml:space="preserve"> lehet, de területe nem haladhatja meg a </w:t>
      </w:r>
      <w:proofErr w:type="spellStart"/>
      <w:r w:rsidRPr="00B11143">
        <w:rPr>
          <w:rFonts w:cs="Arial"/>
        </w:rPr>
        <w:t>főfunkciót</w:t>
      </w:r>
      <w:proofErr w:type="spellEnd"/>
      <w:r w:rsidRPr="00B11143">
        <w:rPr>
          <w:rFonts w:cs="Arial"/>
        </w:rPr>
        <w:t xml:space="preserve"> tartalmazó épület területét.”</w:t>
      </w:r>
    </w:p>
    <w:p w:rsidR="009971D2" w:rsidRPr="00B11143" w:rsidRDefault="009971D2" w:rsidP="009971D2">
      <w:pPr>
        <w:ind w:left="846" w:hanging="138"/>
        <w:jc w:val="both"/>
        <w:rPr>
          <w:rFonts w:cs="Arial"/>
        </w:rPr>
      </w:pPr>
    </w:p>
    <w:p w:rsidR="009971D2" w:rsidRPr="00B11143" w:rsidRDefault="009971D2" w:rsidP="009971D2">
      <w:pPr>
        <w:jc w:val="both"/>
        <w:rPr>
          <w:rFonts w:cs="Arial"/>
        </w:rPr>
      </w:pPr>
      <w:r w:rsidRPr="00B11143">
        <w:rPr>
          <w:rFonts w:cs="Arial"/>
        </w:rPr>
        <w:t>(6) A Rendelet 41. § (2) bekezdés e) pontja helyébe az alábbi e) pont lép:</w:t>
      </w:r>
    </w:p>
    <w:p w:rsidR="009971D2" w:rsidRDefault="009971D2" w:rsidP="009971D2">
      <w:pPr>
        <w:ind w:firstLine="708"/>
        <w:jc w:val="both"/>
        <w:rPr>
          <w:rFonts w:cs="Arial"/>
          <w:noProof/>
        </w:rPr>
      </w:pPr>
      <w:r w:rsidRPr="00B11143">
        <w:rPr>
          <w:rFonts w:cs="Arial"/>
          <w:noProof/>
        </w:rPr>
        <w:t>„e) a megengedett lakásszámot meg nem haladó vendég-szobaszámú szállás jellegű,”</w:t>
      </w:r>
    </w:p>
    <w:p w:rsidR="009971D2" w:rsidRDefault="009971D2" w:rsidP="009971D2">
      <w:pPr>
        <w:jc w:val="both"/>
        <w:rPr>
          <w:rFonts w:cs="Arial"/>
          <w:noProof/>
        </w:rPr>
      </w:pPr>
    </w:p>
    <w:p w:rsidR="009971D2" w:rsidRPr="00211068" w:rsidRDefault="009971D2" w:rsidP="009971D2">
      <w:pPr>
        <w:jc w:val="both"/>
        <w:rPr>
          <w:rFonts w:cs="Arial"/>
          <w:color w:val="000000"/>
        </w:rPr>
      </w:pPr>
      <w:r w:rsidRPr="00211068">
        <w:rPr>
          <w:rFonts w:cs="Arial"/>
          <w:noProof/>
          <w:color w:val="000000"/>
        </w:rPr>
        <w:t xml:space="preserve">(7) </w:t>
      </w:r>
      <w:r w:rsidRPr="00211068">
        <w:rPr>
          <w:rFonts w:cs="Arial"/>
          <w:color w:val="000000"/>
        </w:rPr>
        <w:t>A Rendelet 41. § (2) bekezdés f) pontja helyébe az alábbi f) pont lép:</w:t>
      </w:r>
    </w:p>
    <w:p w:rsidR="009971D2" w:rsidRPr="00211068" w:rsidRDefault="009971D2" w:rsidP="009971D2">
      <w:pPr>
        <w:ind w:firstLine="708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„f) igazgatási, iroda,”</w:t>
      </w:r>
    </w:p>
    <w:p w:rsidR="009971D2" w:rsidRPr="00211068" w:rsidRDefault="009971D2" w:rsidP="009971D2">
      <w:pPr>
        <w:jc w:val="both"/>
        <w:rPr>
          <w:rFonts w:cs="Arial"/>
          <w:noProof/>
          <w:color w:val="000000"/>
        </w:rPr>
      </w:pPr>
    </w:p>
    <w:p w:rsidR="009971D2" w:rsidRPr="00211068" w:rsidRDefault="009971D2" w:rsidP="009971D2">
      <w:pPr>
        <w:tabs>
          <w:tab w:val="left" w:pos="-3402"/>
        </w:tabs>
        <w:jc w:val="both"/>
        <w:rPr>
          <w:rFonts w:cs="Arial"/>
          <w:color w:val="000000"/>
        </w:rPr>
      </w:pPr>
      <w:r w:rsidRPr="00211068">
        <w:rPr>
          <w:rFonts w:cs="Arial"/>
          <w:color w:val="000000"/>
        </w:rPr>
        <w:t>(8) A Rendelet 43. § (2) bekezdése helyébe az alábbi rendelkezés lép:</w:t>
      </w:r>
    </w:p>
    <w:p w:rsidR="009971D2" w:rsidRPr="00211068" w:rsidRDefault="009971D2" w:rsidP="009971D2">
      <w:pPr>
        <w:tabs>
          <w:tab w:val="left" w:pos="-3402"/>
        </w:tabs>
        <w:ind w:left="906" w:hanging="360"/>
        <w:jc w:val="both"/>
        <w:rPr>
          <w:rFonts w:cs="Arial"/>
          <w:color w:val="000000"/>
        </w:rPr>
      </w:pPr>
      <w:r w:rsidRPr="00211068">
        <w:rPr>
          <w:rFonts w:cs="Arial"/>
          <w:color w:val="000000"/>
        </w:rPr>
        <w:t>„(2) A területen az alábbiak helyezhetők el:</w:t>
      </w:r>
    </w:p>
    <w:p w:rsidR="009971D2" w:rsidRPr="00211068" w:rsidRDefault="009971D2" w:rsidP="009971D2">
      <w:pPr>
        <w:ind w:left="1416" w:hanging="330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a) legfeljebb kétlakásos lakó,</w:t>
      </w:r>
    </w:p>
    <w:p w:rsidR="009971D2" w:rsidRPr="00211068" w:rsidRDefault="009971D2" w:rsidP="009971D2">
      <w:pPr>
        <w:ind w:left="1416" w:hanging="330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b) a mező- és erdőgazdaság, valamint a terület rendeltetésszerű használatát nem zavaró gazdasági tevékenységet szolgáló,</w:t>
      </w:r>
    </w:p>
    <w:p w:rsidR="009971D2" w:rsidRPr="00211068" w:rsidRDefault="009971D2" w:rsidP="009971D2">
      <w:pPr>
        <w:ind w:left="1488" w:hanging="402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c) kereskedelmi, szolgáltató, vendéglátó,</w:t>
      </w:r>
    </w:p>
    <w:p w:rsidR="009971D2" w:rsidRPr="00211068" w:rsidRDefault="009971D2" w:rsidP="009971D2">
      <w:pPr>
        <w:ind w:left="1488" w:hanging="402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d) hitéleti, nevelési, oktatási, egészségügyi, szociális,</w:t>
      </w:r>
    </w:p>
    <w:p w:rsidR="009971D2" w:rsidRPr="00211068" w:rsidRDefault="009971D2" w:rsidP="009971D2">
      <w:pPr>
        <w:ind w:left="1488" w:hanging="402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 xml:space="preserve">e) kulturális, </w:t>
      </w:r>
    </w:p>
    <w:p w:rsidR="009971D2" w:rsidRPr="00211068" w:rsidRDefault="009971D2" w:rsidP="009971D2">
      <w:pPr>
        <w:ind w:left="1488" w:hanging="402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 xml:space="preserve">f) igazgatási, iroda, </w:t>
      </w:r>
    </w:p>
    <w:p w:rsidR="009971D2" w:rsidRPr="00211068" w:rsidRDefault="009971D2" w:rsidP="009971D2">
      <w:pPr>
        <w:ind w:left="1488" w:hanging="402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g) a megengedett lakásszámot meg nem haladó vendég-szobaszámú szállás jellegű,</w:t>
      </w:r>
    </w:p>
    <w:p w:rsidR="009971D2" w:rsidRPr="00211068" w:rsidRDefault="009971D2" w:rsidP="009971D2">
      <w:pPr>
        <w:ind w:left="1488" w:hanging="402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h) sport</w:t>
      </w:r>
    </w:p>
    <w:p w:rsidR="009971D2" w:rsidRPr="00211068" w:rsidRDefault="009971D2" w:rsidP="009971D2">
      <w:pPr>
        <w:ind w:left="1488" w:hanging="402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épület;</w:t>
      </w:r>
    </w:p>
    <w:p w:rsidR="009971D2" w:rsidRPr="00211068" w:rsidRDefault="009971D2" w:rsidP="009971D2">
      <w:pPr>
        <w:ind w:left="1326" w:hanging="240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i) napenergia hasznosításának berendezései, ha azok az épülettel egy tömegben kerülnek elhelyezésre és az épületmagassági előírásoknak megfelelnek.”</w:t>
      </w:r>
    </w:p>
    <w:p w:rsidR="009971D2" w:rsidRPr="00211068" w:rsidRDefault="009971D2" w:rsidP="009971D2">
      <w:pPr>
        <w:jc w:val="both"/>
        <w:rPr>
          <w:rFonts w:cs="Arial"/>
          <w:noProof/>
          <w:color w:val="000000"/>
        </w:rPr>
      </w:pPr>
    </w:p>
    <w:p w:rsidR="009971D2" w:rsidRPr="00B11143" w:rsidRDefault="009971D2" w:rsidP="009971D2">
      <w:pPr>
        <w:jc w:val="both"/>
        <w:rPr>
          <w:rFonts w:cs="Arial"/>
        </w:rPr>
      </w:pPr>
      <w:r>
        <w:rPr>
          <w:rFonts w:cs="Arial"/>
          <w:noProof/>
        </w:rPr>
        <w:t>(9</w:t>
      </w:r>
      <w:r w:rsidRPr="00B11143">
        <w:rPr>
          <w:rFonts w:cs="Arial"/>
          <w:noProof/>
        </w:rPr>
        <w:t xml:space="preserve">) </w:t>
      </w:r>
      <w:r w:rsidRPr="00B11143">
        <w:rPr>
          <w:rFonts w:cs="Arial"/>
        </w:rPr>
        <w:t>A Rendelet 43. §-</w:t>
      </w:r>
      <w:proofErr w:type="gramStart"/>
      <w:r w:rsidRPr="00B11143">
        <w:rPr>
          <w:rFonts w:cs="Arial"/>
        </w:rPr>
        <w:t>a</w:t>
      </w:r>
      <w:proofErr w:type="gramEnd"/>
      <w:r w:rsidRPr="00B11143">
        <w:rPr>
          <w:rFonts w:cs="Arial"/>
        </w:rPr>
        <w:t xml:space="preserve"> az alábbi (5) ponttal egészül ki:</w:t>
      </w:r>
    </w:p>
    <w:p w:rsidR="009971D2" w:rsidRPr="00B11143" w:rsidRDefault="009971D2" w:rsidP="009971D2">
      <w:pPr>
        <w:tabs>
          <w:tab w:val="left" w:pos="-3402"/>
        </w:tabs>
        <w:ind w:left="906" w:hanging="360"/>
        <w:jc w:val="both"/>
        <w:rPr>
          <w:rFonts w:cs="Arial"/>
        </w:rPr>
      </w:pPr>
      <w:r w:rsidRPr="00B11143">
        <w:rPr>
          <w:rFonts w:cs="Arial"/>
        </w:rPr>
        <w:t>„(5) Azon ingatlanok esetében, amelyek területe az 1000 m</w:t>
      </w:r>
      <w:r w:rsidRPr="00B11143">
        <w:rPr>
          <w:rFonts w:cs="Arial"/>
          <w:vertAlign w:val="superscript"/>
        </w:rPr>
        <w:t>2</w:t>
      </w:r>
      <w:r w:rsidRPr="00B11143">
        <w:rPr>
          <w:rFonts w:cs="Arial"/>
        </w:rPr>
        <w:t>-t meghaladja, az 1000 m</w:t>
      </w:r>
      <w:r w:rsidRPr="00B11143">
        <w:rPr>
          <w:rFonts w:cs="Arial"/>
          <w:vertAlign w:val="superscript"/>
        </w:rPr>
        <w:t>2</w:t>
      </w:r>
      <w:r w:rsidRPr="00B11143">
        <w:rPr>
          <w:rFonts w:cs="Arial"/>
        </w:rPr>
        <w:t>-t fölötti telekrészre számított minden megkezdett 200 m</w:t>
      </w:r>
      <w:r w:rsidRPr="00B11143">
        <w:rPr>
          <w:rFonts w:cs="Arial"/>
          <w:vertAlign w:val="superscript"/>
        </w:rPr>
        <w:t>2</w:t>
      </w:r>
      <w:r w:rsidRPr="00B11143">
        <w:rPr>
          <w:rFonts w:cs="Arial"/>
        </w:rPr>
        <w:t xml:space="preserve"> telekterület után 1 db újabb </w:t>
      </w:r>
      <w:r>
        <w:rPr>
          <w:rFonts w:cs="Arial"/>
        </w:rPr>
        <w:t xml:space="preserve">rendeltetési </w:t>
      </w:r>
      <w:r w:rsidRPr="00B11143">
        <w:rPr>
          <w:rFonts w:cs="Arial"/>
        </w:rPr>
        <w:t xml:space="preserve">egység létesíthető, amely kizárólag lakó </w:t>
      </w:r>
      <w:proofErr w:type="gramStart"/>
      <w:r w:rsidRPr="00B11143">
        <w:rPr>
          <w:rFonts w:cs="Arial"/>
        </w:rPr>
        <w:t>funkciójú</w:t>
      </w:r>
      <w:proofErr w:type="gramEnd"/>
      <w:r w:rsidRPr="00B11143">
        <w:rPr>
          <w:rFonts w:cs="Arial"/>
        </w:rPr>
        <w:t xml:space="preserve"> lehet. Ezen inga</w:t>
      </w:r>
      <w:r>
        <w:rPr>
          <w:rFonts w:cs="Arial"/>
        </w:rPr>
        <w:t>tlanok esetében a maximális rendelteté</w:t>
      </w:r>
      <w:r w:rsidRPr="00B11143">
        <w:rPr>
          <w:rFonts w:cs="Arial"/>
        </w:rPr>
        <w:t>sszám 5 db.”</w:t>
      </w:r>
    </w:p>
    <w:p w:rsidR="009971D2" w:rsidRPr="00B11143" w:rsidRDefault="009971D2" w:rsidP="009971D2">
      <w:pPr>
        <w:jc w:val="both"/>
        <w:rPr>
          <w:rFonts w:cs="Arial"/>
          <w:noProof/>
        </w:rPr>
      </w:pPr>
    </w:p>
    <w:p w:rsidR="009971D2" w:rsidRPr="00B11143" w:rsidRDefault="009971D2" w:rsidP="009971D2">
      <w:pPr>
        <w:jc w:val="both"/>
        <w:rPr>
          <w:rFonts w:cs="Arial"/>
          <w:noProof/>
        </w:rPr>
      </w:pPr>
      <w:r>
        <w:rPr>
          <w:rFonts w:cs="Arial"/>
          <w:noProof/>
        </w:rPr>
        <w:t>(10</w:t>
      </w:r>
      <w:r w:rsidRPr="00B11143">
        <w:rPr>
          <w:rFonts w:cs="Arial"/>
          <w:noProof/>
        </w:rPr>
        <w:t>) A Rendelet 44. § (1) bekezdése helyébe az alábbi rendelkezés lép:</w:t>
      </w:r>
    </w:p>
    <w:p w:rsidR="009971D2" w:rsidRPr="00B11143" w:rsidRDefault="009971D2" w:rsidP="009971D2">
      <w:pPr>
        <w:tabs>
          <w:tab w:val="left" w:pos="-3402"/>
        </w:tabs>
        <w:ind w:left="906" w:hanging="360"/>
        <w:jc w:val="both"/>
        <w:rPr>
          <w:rFonts w:cs="Arial"/>
        </w:rPr>
      </w:pPr>
      <w:r w:rsidRPr="00B11143">
        <w:rPr>
          <w:rFonts w:cs="Arial"/>
        </w:rPr>
        <w:t>„(1) 150 m</w:t>
      </w:r>
      <w:r w:rsidRPr="00B11143">
        <w:rPr>
          <w:rFonts w:cs="Arial"/>
          <w:vertAlign w:val="superscript"/>
        </w:rPr>
        <w:t>2</w:t>
      </w:r>
      <w:r w:rsidRPr="00B11143">
        <w:rPr>
          <w:rFonts w:cs="Arial"/>
        </w:rPr>
        <w:t xml:space="preserve"> telekterületként egy önálló rendeltetési egységet magába foglaló lakó- és olyan települési szintű, egyéb rendeltetést szolgáló épület elhelyezésére szolgál, amely nincs zavaró hatással a lakó rendeltetésre.”</w:t>
      </w:r>
    </w:p>
    <w:p w:rsidR="009971D2" w:rsidRPr="00B11143" w:rsidRDefault="009971D2" w:rsidP="009971D2">
      <w:pPr>
        <w:tabs>
          <w:tab w:val="left" w:pos="-3402"/>
        </w:tabs>
        <w:ind w:left="906" w:hanging="360"/>
        <w:jc w:val="both"/>
        <w:rPr>
          <w:rFonts w:cs="Arial"/>
        </w:rPr>
      </w:pPr>
    </w:p>
    <w:p w:rsidR="009971D2" w:rsidRPr="00B11143" w:rsidRDefault="009971D2" w:rsidP="009971D2">
      <w:pPr>
        <w:tabs>
          <w:tab w:val="left" w:pos="-3402"/>
        </w:tabs>
        <w:jc w:val="both"/>
        <w:rPr>
          <w:rFonts w:cs="Arial"/>
        </w:rPr>
      </w:pPr>
      <w:r>
        <w:rPr>
          <w:rFonts w:cs="Arial"/>
        </w:rPr>
        <w:t>(11</w:t>
      </w:r>
      <w:r w:rsidRPr="00B11143">
        <w:rPr>
          <w:rFonts w:cs="Arial"/>
        </w:rPr>
        <w:t>) A Rendelet 44. § (2) bekezdése helyébe az alábbi rendelkezés lép:</w:t>
      </w:r>
    </w:p>
    <w:p w:rsidR="009971D2" w:rsidRPr="00B11143" w:rsidRDefault="009971D2" w:rsidP="009971D2">
      <w:pPr>
        <w:tabs>
          <w:tab w:val="left" w:pos="-3402"/>
        </w:tabs>
        <w:ind w:left="906" w:hanging="360"/>
        <w:jc w:val="both"/>
        <w:rPr>
          <w:rFonts w:cs="Arial"/>
        </w:rPr>
      </w:pPr>
      <w:r w:rsidRPr="00B11143">
        <w:rPr>
          <w:rFonts w:cs="Arial"/>
        </w:rPr>
        <w:t>„(2) A területen elhelyezhető épület a lakó rendeltetésen kívül tartalmazhat még: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a) igazgatási, iroda,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b) kereskedelmi, szolgáltató, vendéglátó,</w:t>
      </w:r>
    </w:p>
    <w:p w:rsidR="009971D2" w:rsidRPr="00B11143" w:rsidRDefault="009971D2" w:rsidP="009971D2">
      <w:pPr>
        <w:ind w:left="1488" w:hanging="402"/>
        <w:jc w:val="both"/>
        <w:rPr>
          <w:rFonts w:cs="Arial"/>
          <w:noProof/>
        </w:rPr>
      </w:pPr>
      <w:r w:rsidRPr="00B11143">
        <w:rPr>
          <w:rFonts w:cs="Arial"/>
          <w:noProof/>
        </w:rPr>
        <w:t>c) a megengedett lakásszámot meg nem haladó vendég-szobaszámú szállás jellegű,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 xml:space="preserve">d) a terület azon részén, amelyben a gazdasági célú használat az elsődleges, egyéb közösségi szórakoztató, 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e) hitéleti, nevelési, oktatási, egészségügyi, szociális,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f) kulturális, közösségi szórakoztató</w:t>
      </w:r>
      <w:r>
        <w:rPr>
          <w:rFonts w:cs="Arial"/>
          <w:noProof/>
        </w:rPr>
        <w:tab/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g) sport,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h) parkoló,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i) nem zavaró hatású egyéb gazdasági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rendeltetést;</w:t>
      </w:r>
    </w:p>
    <w:p w:rsidR="009971D2" w:rsidRPr="00B11143" w:rsidRDefault="009971D2" w:rsidP="009971D2">
      <w:pPr>
        <w:ind w:left="1296" w:hanging="210"/>
        <w:jc w:val="both"/>
        <w:rPr>
          <w:rFonts w:cs="Arial"/>
          <w:noProof/>
        </w:rPr>
      </w:pPr>
      <w:r w:rsidRPr="00B11143">
        <w:rPr>
          <w:rFonts w:cs="Arial"/>
          <w:noProof/>
        </w:rPr>
        <w:t>j) napenergia hasznosításának berendezéseit, ha azok az épülettel egy tömegben kerülnek elhelyezésre és az épületmagassági előírásoknak megfelelnek.”</w:t>
      </w:r>
    </w:p>
    <w:p w:rsidR="009971D2" w:rsidRPr="00B11143" w:rsidRDefault="009971D2" w:rsidP="009971D2">
      <w:pPr>
        <w:jc w:val="both"/>
        <w:rPr>
          <w:rFonts w:cs="Arial"/>
          <w:noProof/>
        </w:rPr>
      </w:pPr>
    </w:p>
    <w:p w:rsidR="009971D2" w:rsidRPr="00B11143" w:rsidRDefault="009971D2" w:rsidP="009971D2">
      <w:pPr>
        <w:jc w:val="both"/>
        <w:rPr>
          <w:rFonts w:cs="Arial"/>
          <w:noProof/>
        </w:rPr>
      </w:pPr>
      <w:r>
        <w:rPr>
          <w:rFonts w:cs="Arial"/>
          <w:noProof/>
        </w:rPr>
        <w:t>(12</w:t>
      </w:r>
      <w:r w:rsidRPr="00B11143">
        <w:rPr>
          <w:rFonts w:cs="Arial"/>
          <w:noProof/>
        </w:rPr>
        <w:t>) A Rendelet 45. § (1) bekezdésének helyébe az alábbi rendelkezés lép:</w:t>
      </w:r>
    </w:p>
    <w:p w:rsidR="009971D2" w:rsidRPr="00B11143" w:rsidRDefault="009971D2" w:rsidP="009971D2">
      <w:pPr>
        <w:tabs>
          <w:tab w:val="left" w:pos="-3402"/>
        </w:tabs>
        <w:ind w:left="906" w:hanging="360"/>
        <w:jc w:val="both"/>
        <w:rPr>
          <w:rFonts w:cs="Arial"/>
        </w:rPr>
      </w:pPr>
      <w:r w:rsidRPr="00B11143">
        <w:rPr>
          <w:rFonts w:cs="Arial"/>
        </w:rPr>
        <w:t>„(1) 150 m</w:t>
      </w:r>
      <w:r w:rsidRPr="00B11143">
        <w:rPr>
          <w:rFonts w:cs="Arial"/>
          <w:vertAlign w:val="superscript"/>
        </w:rPr>
        <w:t>2</w:t>
      </w:r>
      <w:r w:rsidRPr="00B11143">
        <w:rPr>
          <w:rFonts w:cs="Arial"/>
        </w:rPr>
        <w:t xml:space="preserve"> telekterületként egy önálló rendeltetési egységet magába foglaló lakó- és olyan települési szintű, egyéb rendeltetést szolgáló épület elhelyezésére szolgál, amely nincs zavaró hatással a lakó rendeltetésre.”</w:t>
      </w:r>
    </w:p>
    <w:p w:rsidR="009971D2" w:rsidRPr="00B11143" w:rsidRDefault="009971D2" w:rsidP="009971D2">
      <w:pPr>
        <w:tabs>
          <w:tab w:val="left" w:pos="-3402"/>
        </w:tabs>
        <w:ind w:left="906" w:hanging="360"/>
        <w:jc w:val="both"/>
        <w:rPr>
          <w:rFonts w:cs="Arial"/>
        </w:rPr>
      </w:pPr>
    </w:p>
    <w:p w:rsidR="009971D2" w:rsidRPr="00B11143" w:rsidRDefault="009971D2" w:rsidP="009971D2">
      <w:pPr>
        <w:tabs>
          <w:tab w:val="left" w:pos="-3402"/>
        </w:tabs>
        <w:jc w:val="both"/>
        <w:rPr>
          <w:rFonts w:cs="Arial"/>
        </w:rPr>
      </w:pPr>
      <w:r>
        <w:rPr>
          <w:rFonts w:cs="Arial"/>
        </w:rPr>
        <w:t>(13</w:t>
      </w:r>
      <w:r w:rsidRPr="00B11143">
        <w:rPr>
          <w:rFonts w:cs="Arial"/>
        </w:rPr>
        <w:t>) A Rendelet 45. § (2) bekezdése helyébe az alábbi rendelkezés lép:</w:t>
      </w:r>
    </w:p>
    <w:p w:rsidR="009971D2" w:rsidRPr="00B11143" w:rsidRDefault="009971D2" w:rsidP="009971D2">
      <w:pPr>
        <w:tabs>
          <w:tab w:val="left" w:pos="-3402"/>
        </w:tabs>
        <w:ind w:left="906" w:hanging="360"/>
        <w:jc w:val="both"/>
        <w:rPr>
          <w:rFonts w:cs="Arial"/>
        </w:rPr>
      </w:pPr>
      <w:r w:rsidRPr="00B11143">
        <w:rPr>
          <w:rFonts w:cs="Arial"/>
        </w:rPr>
        <w:t>„(2) A területen elhelyezhető épület a lakó rendeltetésen kívül tartalmazhat még: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a) igazgatási, iroda,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b) kereskedelmi, szolgáltató, vendéglátó,</w:t>
      </w:r>
    </w:p>
    <w:p w:rsidR="009971D2" w:rsidRPr="00B11143" w:rsidRDefault="009971D2" w:rsidP="009971D2">
      <w:pPr>
        <w:ind w:left="1488" w:hanging="402"/>
        <w:jc w:val="both"/>
        <w:rPr>
          <w:rFonts w:cs="Arial"/>
          <w:noProof/>
        </w:rPr>
      </w:pPr>
      <w:r w:rsidRPr="00B11143">
        <w:rPr>
          <w:rFonts w:cs="Arial"/>
          <w:noProof/>
        </w:rPr>
        <w:t>c) a megengedett lakásszámot meg nem haladó vendég-szobaszámú szállás jellegű,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 xml:space="preserve">d) a terület azon részén, amelyben a gazdasági célú használat az elsődleges, egyéb közösségi szórakoztató, 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e) hitéleti, nevelési, oktatási, egészségügyi, szociális,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f) kulturális, közösségi szórakoztató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g) sport,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h) parkoló,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i) nem zavaró hatású egyéb gazdasági</w:t>
      </w:r>
    </w:p>
    <w:p w:rsidR="009971D2" w:rsidRPr="00B11143" w:rsidRDefault="009971D2" w:rsidP="009971D2">
      <w:pPr>
        <w:ind w:left="1416" w:hanging="330"/>
        <w:jc w:val="both"/>
        <w:rPr>
          <w:rFonts w:cs="Arial"/>
          <w:noProof/>
        </w:rPr>
      </w:pPr>
      <w:r w:rsidRPr="00B11143">
        <w:rPr>
          <w:rFonts w:cs="Arial"/>
          <w:noProof/>
        </w:rPr>
        <w:t>rendeltetést;</w:t>
      </w:r>
    </w:p>
    <w:p w:rsidR="009971D2" w:rsidRPr="00B11143" w:rsidRDefault="009971D2" w:rsidP="009971D2">
      <w:pPr>
        <w:ind w:left="1296" w:hanging="210"/>
        <w:jc w:val="both"/>
        <w:rPr>
          <w:rFonts w:cs="Arial"/>
          <w:noProof/>
        </w:rPr>
      </w:pPr>
      <w:r w:rsidRPr="00B11143">
        <w:rPr>
          <w:rFonts w:cs="Arial"/>
          <w:noProof/>
        </w:rPr>
        <w:t>j) napenergia hasznosításának berendezéseit, ha azok az épülettel egy tömegben kerülnek elhelyezésre és az épületmagassági előírásoknak megfelelnek.”</w:t>
      </w:r>
    </w:p>
    <w:p w:rsidR="009971D2" w:rsidRPr="00B11143" w:rsidRDefault="009971D2" w:rsidP="009971D2">
      <w:pPr>
        <w:jc w:val="both"/>
        <w:rPr>
          <w:rFonts w:cs="Arial"/>
          <w:noProof/>
        </w:rPr>
      </w:pPr>
    </w:p>
    <w:p w:rsidR="009971D2" w:rsidRPr="00B11143" w:rsidRDefault="009971D2" w:rsidP="009971D2">
      <w:pPr>
        <w:jc w:val="both"/>
        <w:rPr>
          <w:rFonts w:cs="Arial"/>
          <w:noProof/>
        </w:rPr>
      </w:pPr>
      <w:r>
        <w:rPr>
          <w:rFonts w:cs="Arial"/>
          <w:noProof/>
        </w:rPr>
        <w:t>(14</w:t>
      </w:r>
      <w:r w:rsidRPr="00B11143">
        <w:rPr>
          <w:rFonts w:cs="Arial"/>
          <w:noProof/>
        </w:rPr>
        <w:t>) A Rendelet 46. § (2) bekezdése helyébe az alábbi rendelkezés lép:</w:t>
      </w:r>
    </w:p>
    <w:p w:rsidR="009971D2" w:rsidRPr="00B11143" w:rsidRDefault="009971D2" w:rsidP="009971D2">
      <w:pPr>
        <w:tabs>
          <w:tab w:val="left" w:pos="-3402"/>
        </w:tabs>
        <w:ind w:left="906" w:hanging="360"/>
        <w:jc w:val="both"/>
        <w:rPr>
          <w:rFonts w:cs="Arial"/>
        </w:rPr>
      </w:pPr>
      <w:r w:rsidRPr="00B11143">
        <w:rPr>
          <w:rFonts w:cs="Arial"/>
        </w:rPr>
        <w:t>„(2) Területén az (1) bekezdésben felsorolt épületeken kívül elhelyezhetők még: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t>a) iroda,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t>b) kereskedelmi, szolgáltató, vendéglátó,</w:t>
      </w:r>
    </w:p>
    <w:p w:rsidR="009971D2" w:rsidRPr="00B11143" w:rsidRDefault="009971D2" w:rsidP="009971D2">
      <w:pPr>
        <w:ind w:left="1488" w:hanging="402"/>
        <w:jc w:val="both"/>
        <w:rPr>
          <w:rFonts w:cs="Arial"/>
          <w:noProof/>
        </w:rPr>
      </w:pPr>
      <w:r w:rsidRPr="00B11143">
        <w:rPr>
          <w:rFonts w:cs="Arial"/>
          <w:noProof/>
        </w:rPr>
        <w:t xml:space="preserve">c) a megengedett lakásszámot meg nem haladó vendég-szobaszámú szállás jellegű, 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t>d) kulturális, közösségi szórakoztató,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t>e) hitéleti,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t>f) sport,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t>g) parkoló,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t>rendeltetésű épület;”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lastRenderedPageBreak/>
        <w:t>h) az a)-e) pontokban felsorolt célú épületben a tulajdonos, a használó és a személyzet számára szolgáló lakások, továbbá más lakások az épület a földszint feletti részén, az épület szinterületének legfeljebb 75%-án;</w:t>
      </w:r>
    </w:p>
    <w:p w:rsidR="009971D2" w:rsidRPr="00B11143" w:rsidRDefault="009971D2" w:rsidP="009971D2">
      <w:pPr>
        <w:ind w:left="1356" w:hanging="270"/>
        <w:jc w:val="both"/>
        <w:rPr>
          <w:rFonts w:cs="Arial"/>
          <w:noProof/>
        </w:rPr>
      </w:pPr>
      <w:r w:rsidRPr="00B11143">
        <w:rPr>
          <w:rFonts w:cs="Arial"/>
          <w:noProof/>
        </w:rPr>
        <w:t>i) napenergia hasznosításának berendezései, ha azok az épülettel egy tömegben kerülnek elhelyezésre és az épületmagassági előírásoknak megfelelnek.”</w:t>
      </w:r>
    </w:p>
    <w:p w:rsidR="009971D2" w:rsidRPr="00B11143" w:rsidRDefault="009971D2" w:rsidP="009971D2">
      <w:pPr>
        <w:jc w:val="both"/>
        <w:rPr>
          <w:rFonts w:cs="Arial"/>
          <w:noProof/>
        </w:rPr>
      </w:pPr>
    </w:p>
    <w:p w:rsidR="009971D2" w:rsidRPr="00B11143" w:rsidRDefault="009971D2" w:rsidP="009971D2">
      <w:pPr>
        <w:jc w:val="both"/>
        <w:rPr>
          <w:rFonts w:cs="Arial"/>
          <w:noProof/>
        </w:rPr>
      </w:pPr>
      <w:r>
        <w:rPr>
          <w:rFonts w:cs="Arial"/>
          <w:noProof/>
        </w:rPr>
        <w:t>(15</w:t>
      </w:r>
      <w:r w:rsidRPr="00B11143">
        <w:rPr>
          <w:rFonts w:cs="Arial"/>
          <w:noProof/>
        </w:rPr>
        <w:t>) A Rendelet 64. §-a az alábbi (6) bekezdéssel egészül ki:</w:t>
      </w:r>
    </w:p>
    <w:p w:rsidR="009971D2" w:rsidRPr="00B11143" w:rsidRDefault="009971D2" w:rsidP="009971D2">
      <w:pPr>
        <w:ind w:left="705"/>
        <w:jc w:val="both"/>
        <w:rPr>
          <w:rFonts w:cs="Arial"/>
          <w:noProof/>
        </w:rPr>
      </w:pPr>
      <w:r w:rsidRPr="00B11143">
        <w:rPr>
          <w:rFonts w:cs="Arial"/>
          <w:noProof/>
        </w:rPr>
        <w:t>„(6) Az ingatlanon belüli kötelező zöldfelületi arány teljesítése során, a gépkocsi parkolóhelyek burkolataként alkalmazott, füvesített kialakítású gyephézagos burkolat 50 %-ban beszámítható a zöldfelületbe.”</w:t>
      </w:r>
    </w:p>
    <w:p w:rsidR="009971D2" w:rsidRPr="00B11143" w:rsidRDefault="009971D2" w:rsidP="009971D2">
      <w:pPr>
        <w:jc w:val="both"/>
        <w:rPr>
          <w:rFonts w:cs="Arial"/>
          <w:noProof/>
        </w:rPr>
      </w:pPr>
    </w:p>
    <w:p w:rsidR="00CA6ACF" w:rsidRDefault="009971D2" w:rsidP="00CA6ACF">
      <w:pPr>
        <w:spacing w:after="120"/>
        <w:ind w:left="709" w:hanging="709"/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 xml:space="preserve">(16) </w:t>
      </w:r>
      <w:r w:rsidR="00DD0740">
        <w:rPr>
          <w:rFonts w:cs="Arial"/>
          <w:noProof/>
          <w:color w:val="000000"/>
        </w:rPr>
        <w:t xml:space="preserve">A Rendelet 65. § (2) bekezdésében található táblázatban az X számjelű épületmagasság értéke </w:t>
      </w:r>
      <w:r w:rsidR="00DD0740">
        <w:rPr>
          <w:noProof/>
          <w:color w:val="000000"/>
        </w:rPr>
        <w:t>≤</w:t>
      </w:r>
      <w:r w:rsidR="00CA6ACF">
        <w:rPr>
          <w:rFonts w:cs="Arial"/>
          <w:noProof/>
          <w:color w:val="000000"/>
        </w:rPr>
        <w:t>9,5 m-re módosul.</w:t>
      </w:r>
    </w:p>
    <w:p w:rsidR="009971D2" w:rsidRPr="00211068" w:rsidRDefault="009971D2" w:rsidP="009971D2">
      <w:pPr>
        <w:jc w:val="both"/>
        <w:rPr>
          <w:rFonts w:cs="Arial"/>
          <w:noProof/>
          <w:color w:val="000000"/>
        </w:rPr>
      </w:pPr>
    </w:p>
    <w:p w:rsidR="009971D2" w:rsidRPr="00211068" w:rsidRDefault="009971D2" w:rsidP="009971D2">
      <w:pPr>
        <w:jc w:val="both"/>
        <w:rPr>
          <w:rFonts w:cs="Arial"/>
          <w:noProof/>
          <w:color w:val="000000"/>
        </w:rPr>
      </w:pPr>
      <w:r w:rsidRPr="00211068">
        <w:rPr>
          <w:rFonts w:cs="Arial"/>
          <w:noProof/>
          <w:color w:val="000000"/>
        </w:rPr>
        <w:t>(17) A Rendelet 65. §-a az alábbi (3) bekezdéssel egészül ki:</w:t>
      </w:r>
    </w:p>
    <w:p w:rsidR="009971D2" w:rsidRPr="00211068" w:rsidRDefault="009971D2" w:rsidP="009971D2">
      <w:pPr>
        <w:ind w:left="708"/>
        <w:jc w:val="both"/>
        <w:rPr>
          <w:rFonts w:cs="Arial"/>
          <w:color w:val="000000"/>
        </w:rPr>
      </w:pPr>
      <w:r w:rsidRPr="00211068">
        <w:rPr>
          <w:rFonts w:cs="Arial"/>
          <w:color w:val="000000"/>
        </w:rPr>
        <w:t xml:space="preserve">„(3) A Jász Halmazos </w:t>
      </w:r>
      <w:proofErr w:type="gramStart"/>
      <w:r w:rsidRPr="00211068">
        <w:rPr>
          <w:rFonts w:cs="Arial"/>
          <w:color w:val="000000"/>
        </w:rPr>
        <w:t>( JH</w:t>
      </w:r>
      <w:proofErr w:type="gramEnd"/>
      <w:r w:rsidRPr="00211068">
        <w:rPr>
          <w:rFonts w:cs="Arial"/>
          <w:color w:val="000000"/>
        </w:rPr>
        <w:t xml:space="preserve"> ) és Jász Fésűs ( JF ) övezetekben azon homlokzatok esetében, ahol 7,0 m-nél nem szélesebb oromfal létesül, az érintett homlokzat oromfallal tervezett homlokzatszakaszán az épületmagasság maximum 1,75 m-rel túlléphető, beleértve a közterület felőli homlokzatokat is. Ezen esetekben a (2) bekezdés szerinti követelmény teljesítésekor, illetve az épületmagasság meghatározásakor az érintett oromfallal tervezett homlokzati szakaszok az övezetre meghatározott maximális épületmagassággal vehetők figyelembe.</w:t>
      </w:r>
    </w:p>
    <w:p w:rsidR="009971D2" w:rsidRPr="00211068" w:rsidRDefault="009971D2" w:rsidP="009971D2">
      <w:pPr>
        <w:ind w:left="708"/>
        <w:jc w:val="both"/>
        <w:rPr>
          <w:rFonts w:cs="Arial"/>
          <w:color w:val="000000"/>
        </w:rPr>
      </w:pPr>
      <w:r w:rsidRPr="00211068">
        <w:rPr>
          <w:rFonts w:cs="Arial"/>
          <w:color w:val="000000"/>
        </w:rPr>
        <w:t>Az OTÉK adott övezetre vonatkozó maximális épületmagassági határértékét ezen esetekben is be kell tartani.</w:t>
      </w:r>
    </w:p>
    <w:p w:rsidR="00CA6ACF" w:rsidRDefault="00CA6ACF" w:rsidP="009971D2">
      <w:pPr>
        <w:jc w:val="center"/>
        <w:rPr>
          <w:rFonts w:cs="Arial"/>
          <w:b/>
          <w:bCs/>
          <w:color w:val="000000"/>
        </w:rPr>
      </w:pPr>
    </w:p>
    <w:p w:rsidR="00CA6ACF" w:rsidRDefault="00CA6ACF" w:rsidP="009971D2">
      <w:pPr>
        <w:jc w:val="center"/>
        <w:rPr>
          <w:rFonts w:cs="Arial"/>
          <w:b/>
          <w:bCs/>
          <w:color w:val="000000"/>
        </w:rPr>
      </w:pPr>
    </w:p>
    <w:p w:rsidR="009971D2" w:rsidRPr="001D2646" w:rsidRDefault="009971D2" w:rsidP="009971D2">
      <w:pPr>
        <w:jc w:val="center"/>
        <w:rPr>
          <w:rFonts w:cs="Arial"/>
          <w:b/>
          <w:bCs/>
          <w:color w:val="000000"/>
        </w:rPr>
      </w:pPr>
      <w:r w:rsidRPr="001D2646">
        <w:rPr>
          <w:rFonts w:cs="Arial"/>
          <w:b/>
          <w:bCs/>
          <w:color w:val="000000"/>
        </w:rPr>
        <w:t>2. §</w:t>
      </w:r>
    </w:p>
    <w:p w:rsidR="009971D2" w:rsidRPr="001D2646" w:rsidRDefault="009971D2" w:rsidP="009971D2">
      <w:pPr>
        <w:rPr>
          <w:rFonts w:cs="Arial"/>
          <w:b/>
          <w:bCs/>
          <w:color w:val="000000"/>
        </w:rPr>
      </w:pPr>
    </w:p>
    <w:p w:rsidR="009971D2" w:rsidRPr="001D2646" w:rsidRDefault="009971D2" w:rsidP="009971D2">
      <w:pPr>
        <w:jc w:val="both"/>
        <w:rPr>
          <w:rFonts w:cs="Arial"/>
        </w:rPr>
      </w:pPr>
      <w:r w:rsidRPr="001D2646">
        <w:rPr>
          <w:rFonts w:cs="Arial"/>
          <w:bCs/>
          <w:color w:val="000000"/>
        </w:rPr>
        <w:t xml:space="preserve">(1) A Rendelet </w:t>
      </w:r>
      <w:r w:rsidRPr="001D2646">
        <w:rPr>
          <w:rFonts w:cs="Arial"/>
          <w:color w:val="000000"/>
        </w:rPr>
        <w:t xml:space="preserve">2. mellékletét képező Tilalmak és korlátozások a jelen rendelet </w:t>
      </w:r>
      <w:r w:rsidRPr="001D2646">
        <w:rPr>
          <w:rFonts w:cs="Arial"/>
        </w:rPr>
        <w:t xml:space="preserve">1. melléklete szerinti </w:t>
      </w:r>
    </w:p>
    <w:p w:rsidR="009971D2" w:rsidRPr="001D2646" w:rsidRDefault="009971D2" w:rsidP="009971D2">
      <w:pPr>
        <w:ind w:left="1356" w:hanging="270"/>
        <w:jc w:val="both"/>
        <w:rPr>
          <w:rFonts w:cs="Arial"/>
          <w:noProof/>
        </w:rPr>
      </w:pPr>
      <w:r w:rsidRPr="001D2646">
        <w:rPr>
          <w:rFonts w:cs="Arial"/>
          <w:noProof/>
        </w:rPr>
        <w:t xml:space="preserve">- 2/e Közművek védőterülete miatti korlátozási </w:t>
      </w:r>
    </w:p>
    <w:p w:rsidR="009971D2" w:rsidRPr="001D2646" w:rsidRDefault="00DE0569" w:rsidP="00DE0569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              </w:t>
      </w:r>
      <w:r w:rsidR="009971D2" w:rsidRPr="001D2646">
        <w:rPr>
          <w:rFonts w:cs="Arial"/>
          <w:noProof/>
        </w:rPr>
        <w:t>tervlapok tartalma szerint módosul.</w:t>
      </w:r>
    </w:p>
    <w:p w:rsidR="009971D2" w:rsidRPr="001D2646" w:rsidRDefault="009971D2" w:rsidP="009971D2">
      <w:pPr>
        <w:jc w:val="both"/>
        <w:rPr>
          <w:rFonts w:cs="Arial"/>
          <w:bCs/>
          <w:color w:val="000000"/>
        </w:rPr>
      </w:pPr>
      <w:bookmarkStart w:id="0" w:name="_GoBack"/>
      <w:bookmarkEnd w:id="0"/>
    </w:p>
    <w:p w:rsidR="009971D2" w:rsidRPr="001D2646" w:rsidRDefault="009971D2" w:rsidP="009971D2">
      <w:pPr>
        <w:jc w:val="both"/>
        <w:rPr>
          <w:rFonts w:cs="Arial"/>
        </w:rPr>
      </w:pPr>
      <w:r w:rsidRPr="001D2646">
        <w:rPr>
          <w:rFonts w:cs="Arial"/>
          <w:bCs/>
          <w:color w:val="000000"/>
        </w:rPr>
        <w:t xml:space="preserve">(2) A Rendelet </w:t>
      </w:r>
      <w:r w:rsidRPr="001D2646">
        <w:rPr>
          <w:rFonts w:cs="Arial"/>
          <w:color w:val="000000"/>
        </w:rPr>
        <w:t xml:space="preserve">6. mellékletét képező Szabályozási Terv jelen rendelet </w:t>
      </w:r>
      <w:r w:rsidRPr="001D2646">
        <w:rPr>
          <w:rFonts w:cs="Arial"/>
        </w:rPr>
        <w:t xml:space="preserve">2. melléklete szerinti </w:t>
      </w:r>
    </w:p>
    <w:p w:rsidR="009971D2" w:rsidRPr="001D2646" w:rsidRDefault="009971D2" w:rsidP="009971D2">
      <w:pPr>
        <w:ind w:left="1134"/>
        <w:jc w:val="both"/>
        <w:rPr>
          <w:rFonts w:cs="Arial"/>
        </w:rPr>
      </w:pPr>
      <w:r w:rsidRPr="001D2646">
        <w:rPr>
          <w:rFonts w:cs="Arial"/>
        </w:rPr>
        <w:t xml:space="preserve">A2, A3, B2, B3, C2, C3, D4-4, E3-4, E4-1, E4-3, F3-2, F4-1, F4-2, F4-4 szabályozási tervlap-szelvények tartalma szerint módosul. </w:t>
      </w:r>
    </w:p>
    <w:p w:rsidR="009971D2" w:rsidRDefault="009971D2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b/>
          <w:bCs/>
          <w:color w:val="000000"/>
          <w:u w:val="single"/>
          <w:lang w:val="x-none" w:eastAsia="x-none"/>
        </w:rPr>
      </w:pPr>
    </w:p>
    <w:p w:rsidR="00CA6ACF" w:rsidRPr="00CA6ACF" w:rsidRDefault="00CA6ACF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bCs/>
          <w:color w:val="000000"/>
          <w:lang w:eastAsia="x-none"/>
        </w:rPr>
      </w:pPr>
      <w:r>
        <w:rPr>
          <w:rFonts w:cs="Arial"/>
          <w:bCs/>
          <w:color w:val="000000"/>
          <w:lang w:eastAsia="x-none"/>
        </w:rPr>
        <w:t>(3) A Rendelet 6. számú rajzi mellékletét képező szabályozási tervlapok jelmagyarázata jelen rendelet 3. mellékletében foglalt tartalom szerint módosul.</w:t>
      </w:r>
    </w:p>
    <w:p w:rsidR="009971D2" w:rsidRDefault="009971D2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b/>
          <w:bCs/>
          <w:color w:val="000000"/>
          <w:u w:val="single"/>
          <w:lang w:val="x-none" w:eastAsia="x-none"/>
        </w:rPr>
      </w:pPr>
    </w:p>
    <w:p w:rsidR="00CA6ACF" w:rsidRDefault="00CA6ACF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b/>
          <w:bCs/>
          <w:color w:val="000000"/>
          <w:u w:val="single"/>
          <w:lang w:val="x-none" w:eastAsia="x-none"/>
        </w:rPr>
      </w:pPr>
    </w:p>
    <w:p w:rsidR="009971D2" w:rsidRPr="00B11143" w:rsidRDefault="009971D2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jc w:val="center"/>
        <w:textAlignment w:val="baseline"/>
        <w:rPr>
          <w:rFonts w:cs="Arial"/>
          <w:b/>
          <w:bCs/>
          <w:color w:val="000000"/>
          <w:lang w:val="x-none" w:eastAsia="x-none"/>
        </w:rPr>
      </w:pPr>
      <w:r w:rsidRPr="00B11143">
        <w:rPr>
          <w:rFonts w:cs="Arial"/>
          <w:b/>
          <w:bCs/>
          <w:color w:val="000000"/>
          <w:lang w:val="x-none" w:eastAsia="x-none"/>
        </w:rPr>
        <w:t>3. §</w:t>
      </w:r>
    </w:p>
    <w:p w:rsidR="009971D2" w:rsidRDefault="009971D2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bCs/>
          <w:color w:val="000000"/>
          <w:lang w:eastAsia="x-none"/>
        </w:rPr>
      </w:pPr>
    </w:p>
    <w:p w:rsidR="009971D2" w:rsidRPr="00B11143" w:rsidRDefault="009971D2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t>Hatályát veszti a Rendelet</w:t>
      </w:r>
    </w:p>
    <w:p w:rsidR="009971D2" w:rsidRPr="00B11143" w:rsidRDefault="009971D2" w:rsidP="009971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t>4. § (3) bekezdése,</w:t>
      </w:r>
    </w:p>
    <w:p w:rsidR="009971D2" w:rsidRPr="00B11143" w:rsidRDefault="009971D2" w:rsidP="009971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t>7. § (2) bekezdés b) pontja,</w:t>
      </w:r>
    </w:p>
    <w:p w:rsidR="009971D2" w:rsidRPr="00B11143" w:rsidRDefault="009971D2" w:rsidP="009971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t>17. § (1)-(2) bekezdése,</w:t>
      </w:r>
    </w:p>
    <w:p w:rsidR="009971D2" w:rsidRPr="00B11143" w:rsidRDefault="009971D2" w:rsidP="009971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t>18. §,</w:t>
      </w:r>
    </w:p>
    <w:p w:rsidR="009971D2" w:rsidRPr="00B11143" w:rsidRDefault="009971D2" w:rsidP="009971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t>25. § (2) bekezdése,</w:t>
      </w:r>
    </w:p>
    <w:p w:rsidR="009971D2" w:rsidRPr="00B11143" w:rsidRDefault="009971D2" w:rsidP="009971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t>29. § (4) bekezdése,</w:t>
      </w:r>
    </w:p>
    <w:p w:rsidR="009971D2" w:rsidRPr="00B11143" w:rsidRDefault="009971D2" w:rsidP="009971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lastRenderedPageBreak/>
        <w:t>34. § (2) bekezdése,</w:t>
      </w:r>
    </w:p>
    <w:p w:rsidR="009971D2" w:rsidRPr="00B11143" w:rsidRDefault="009971D2" w:rsidP="009971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B11143">
        <w:rPr>
          <w:rFonts w:cs="Arial"/>
          <w:bCs/>
          <w:color w:val="000000"/>
          <w:lang w:eastAsia="x-none"/>
        </w:rPr>
        <w:t>35. § (2) bekezdésének a)-b) pontja</w:t>
      </w:r>
    </w:p>
    <w:p w:rsidR="009971D2" w:rsidRPr="00A47451" w:rsidRDefault="009971D2" w:rsidP="00A47451">
      <w:pPr>
        <w:pStyle w:val="Listaszerbekezds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lang w:eastAsia="x-none"/>
        </w:rPr>
      </w:pPr>
      <w:r w:rsidRPr="00A47451">
        <w:rPr>
          <w:rFonts w:cs="Arial"/>
          <w:bCs/>
          <w:color w:val="000000"/>
          <w:lang w:eastAsia="x-none"/>
        </w:rPr>
        <w:t>89. § (2) bekezdésének c) pontja.</w:t>
      </w:r>
    </w:p>
    <w:p w:rsidR="00A47451" w:rsidRDefault="00A47451" w:rsidP="00A47451">
      <w:pPr>
        <w:pStyle w:val="Listaszerbekezds"/>
        <w:tabs>
          <w:tab w:val="left" w:pos="1134"/>
        </w:tabs>
        <w:overflowPunct w:val="0"/>
        <w:autoSpaceDE w:val="0"/>
        <w:autoSpaceDN w:val="0"/>
        <w:adjustRightInd w:val="0"/>
        <w:ind w:left="930"/>
        <w:textAlignment w:val="baseline"/>
        <w:rPr>
          <w:rFonts w:cs="Arial"/>
          <w:bCs/>
          <w:color w:val="000000"/>
          <w:lang w:eastAsia="x-none"/>
        </w:rPr>
      </w:pPr>
    </w:p>
    <w:p w:rsidR="00A47451" w:rsidRPr="00A47451" w:rsidRDefault="00A47451" w:rsidP="00A47451">
      <w:pPr>
        <w:pStyle w:val="Listaszerbekezds"/>
        <w:tabs>
          <w:tab w:val="left" w:pos="1134"/>
        </w:tabs>
        <w:overflowPunct w:val="0"/>
        <w:autoSpaceDE w:val="0"/>
        <w:autoSpaceDN w:val="0"/>
        <w:adjustRightInd w:val="0"/>
        <w:ind w:left="930"/>
        <w:textAlignment w:val="baseline"/>
        <w:rPr>
          <w:rFonts w:cs="Arial"/>
          <w:bCs/>
          <w:color w:val="000000"/>
          <w:lang w:eastAsia="x-none"/>
        </w:rPr>
      </w:pPr>
    </w:p>
    <w:p w:rsidR="009971D2" w:rsidRPr="00B11143" w:rsidRDefault="009971D2" w:rsidP="009971D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color w:val="000000"/>
          <w:lang w:eastAsia="x-none"/>
        </w:rPr>
      </w:pPr>
      <w:r w:rsidRPr="00B11143">
        <w:rPr>
          <w:rFonts w:cs="Arial"/>
          <w:b/>
          <w:bCs/>
          <w:color w:val="000000"/>
          <w:lang w:eastAsia="x-none"/>
        </w:rPr>
        <w:t>4. §</w:t>
      </w:r>
    </w:p>
    <w:p w:rsidR="009971D2" w:rsidRDefault="009971D2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bCs/>
          <w:color w:val="000000"/>
          <w:lang w:val="x-none" w:eastAsia="x-none"/>
        </w:rPr>
      </w:pPr>
    </w:p>
    <w:p w:rsidR="009971D2" w:rsidRPr="00B11143" w:rsidRDefault="009971D2" w:rsidP="009971D2">
      <w:pPr>
        <w:tabs>
          <w:tab w:val="left" w:pos="113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bCs/>
          <w:color w:val="000000"/>
          <w:lang w:val="x-none" w:eastAsia="x-none"/>
        </w:rPr>
      </w:pPr>
      <w:r w:rsidRPr="00B11143">
        <w:rPr>
          <w:rFonts w:cs="Arial"/>
          <w:bCs/>
          <w:color w:val="000000"/>
          <w:lang w:val="x-none" w:eastAsia="x-none"/>
        </w:rPr>
        <w:t>Ez a rendelet a</w:t>
      </w:r>
      <w:r w:rsidRPr="00B11143">
        <w:rPr>
          <w:rFonts w:cs="Arial"/>
          <w:bCs/>
          <w:color w:val="000000"/>
          <w:lang w:eastAsia="x-none"/>
        </w:rPr>
        <w:t xml:space="preserve"> kihirdetést </w:t>
      </w:r>
      <w:r w:rsidRPr="00B11143">
        <w:rPr>
          <w:rFonts w:cs="Arial"/>
          <w:bCs/>
          <w:color w:val="000000"/>
          <w:lang w:val="x-none" w:eastAsia="x-none"/>
        </w:rPr>
        <w:t xml:space="preserve">követő </w:t>
      </w:r>
      <w:r w:rsidRPr="00B11143">
        <w:rPr>
          <w:rFonts w:cs="Arial"/>
          <w:bCs/>
          <w:color w:val="000000"/>
          <w:lang w:eastAsia="x-none"/>
        </w:rPr>
        <w:t xml:space="preserve">16. </w:t>
      </w:r>
      <w:r w:rsidRPr="00B11143">
        <w:rPr>
          <w:rFonts w:cs="Arial"/>
          <w:bCs/>
          <w:color w:val="000000"/>
          <w:lang w:val="x-none" w:eastAsia="x-none"/>
        </w:rPr>
        <w:t>napon lép hatályba.</w:t>
      </w:r>
    </w:p>
    <w:p w:rsidR="009971D2" w:rsidRPr="00C25ED0" w:rsidRDefault="009971D2" w:rsidP="009971D2">
      <w:pPr>
        <w:jc w:val="both"/>
        <w:rPr>
          <w:rFonts w:cs="Arial"/>
        </w:rPr>
      </w:pPr>
    </w:p>
    <w:p w:rsidR="009971D2" w:rsidRDefault="009971D2" w:rsidP="009971D2">
      <w:pPr>
        <w:ind w:left="360"/>
        <w:rPr>
          <w:rFonts w:cs="Arial"/>
          <w:b/>
        </w:rPr>
      </w:pPr>
    </w:p>
    <w:p w:rsidR="00A47451" w:rsidRPr="00C25ED0" w:rsidRDefault="00A47451" w:rsidP="009971D2">
      <w:pPr>
        <w:ind w:left="360"/>
        <w:rPr>
          <w:rFonts w:cs="Arial"/>
          <w:b/>
        </w:rPr>
      </w:pPr>
    </w:p>
    <w:p w:rsidR="009971D2" w:rsidRPr="00560FEF" w:rsidRDefault="009971D2" w:rsidP="009971D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60FEF">
        <w:rPr>
          <w:b/>
        </w:rPr>
        <w:t xml:space="preserve">Kelt: </w:t>
      </w:r>
      <w:r w:rsidRPr="00560FEF">
        <w:t>Jászberény Városi Önkormányzat Képviselő-testületének 2019. március 13-án tartott ülésén</w:t>
      </w:r>
      <w:r w:rsidRPr="00560FEF">
        <w:rPr>
          <w:b/>
        </w:rPr>
        <w:t>.</w:t>
      </w:r>
    </w:p>
    <w:p w:rsidR="009971D2" w:rsidRPr="00560FEF" w:rsidRDefault="009971D2" w:rsidP="009971D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971D2" w:rsidRPr="0080613B" w:rsidRDefault="009971D2" w:rsidP="009971D2">
      <w:pPr>
        <w:jc w:val="both"/>
        <w:rPr>
          <w:rFonts w:cs="Arial"/>
        </w:rPr>
      </w:pPr>
    </w:p>
    <w:p w:rsidR="009971D2" w:rsidRPr="0080613B" w:rsidRDefault="009971D2" w:rsidP="009971D2">
      <w:pPr>
        <w:jc w:val="both"/>
        <w:rPr>
          <w:rFonts w:cs="Arial"/>
        </w:rPr>
      </w:pPr>
    </w:p>
    <w:p w:rsidR="009971D2" w:rsidRPr="009971D2" w:rsidRDefault="009971D2" w:rsidP="009971D2">
      <w:pPr>
        <w:tabs>
          <w:tab w:val="center" w:pos="1134"/>
          <w:tab w:val="center" w:pos="6804"/>
        </w:tabs>
        <w:spacing w:line="23" w:lineRule="atLeast"/>
        <w:rPr>
          <w:rFonts w:cs="Arial"/>
          <w:b/>
          <w:i/>
        </w:rPr>
      </w:pPr>
      <w:r w:rsidRPr="009971D2">
        <w:rPr>
          <w:rFonts w:cs="Arial"/>
          <w:b/>
          <w:i/>
        </w:rPr>
        <w:t xml:space="preserve">        Dr. Szabó Tamás s.k.</w:t>
      </w:r>
      <w:r w:rsidRPr="009971D2">
        <w:rPr>
          <w:rFonts w:cs="Arial"/>
          <w:b/>
          <w:i/>
        </w:rPr>
        <w:tab/>
        <w:t xml:space="preserve">Dr. </w:t>
      </w:r>
      <w:proofErr w:type="spellStart"/>
      <w:r w:rsidRPr="009971D2">
        <w:rPr>
          <w:rFonts w:cs="Arial"/>
          <w:b/>
          <w:i/>
        </w:rPr>
        <w:t>Gottdiener</w:t>
      </w:r>
      <w:proofErr w:type="spellEnd"/>
      <w:r w:rsidRPr="009971D2">
        <w:rPr>
          <w:rFonts w:cs="Arial"/>
          <w:b/>
          <w:i/>
        </w:rPr>
        <w:t xml:space="preserve"> Lajos s.k.</w:t>
      </w:r>
    </w:p>
    <w:p w:rsidR="009971D2" w:rsidRPr="009971D2" w:rsidRDefault="009971D2" w:rsidP="009971D2">
      <w:pPr>
        <w:tabs>
          <w:tab w:val="center" w:pos="1134"/>
          <w:tab w:val="center" w:pos="6804"/>
        </w:tabs>
        <w:spacing w:line="23" w:lineRule="atLeast"/>
        <w:rPr>
          <w:rFonts w:cs="Arial"/>
          <w:b/>
          <w:i/>
        </w:rPr>
      </w:pPr>
      <w:r w:rsidRPr="009971D2">
        <w:rPr>
          <w:rFonts w:cs="Arial"/>
          <w:b/>
          <w:i/>
        </w:rPr>
        <w:tab/>
        <w:t xml:space="preserve">             </w:t>
      </w:r>
      <w:proofErr w:type="gramStart"/>
      <w:r w:rsidRPr="009971D2">
        <w:rPr>
          <w:rFonts w:cs="Arial"/>
          <w:b/>
          <w:i/>
        </w:rPr>
        <w:t>polgármester</w:t>
      </w:r>
      <w:proofErr w:type="gramEnd"/>
      <w:r w:rsidRPr="009971D2">
        <w:rPr>
          <w:rFonts w:cs="Arial"/>
          <w:b/>
          <w:i/>
        </w:rPr>
        <w:t xml:space="preserve">                                                                           jegyző</w:t>
      </w:r>
    </w:p>
    <w:p w:rsidR="009971D2" w:rsidRDefault="009971D2" w:rsidP="009971D2">
      <w:pPr>
        <w:jc w:val="both"/>
      </w:pPr>
    </w:p>
    <w:p w:rsidR="009971D2" w:rsidRPr="00962B33" w:rsidRDefault="009971D2" w:rsidP="009971D2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A67EE7" w:rsidRDefault="00A67EE7"/>
    <w:sectPr w:rsidR="00A67EE7" w:rsidSect="0011245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7E" w:rsidRDefault="00A2467E">
      <w:r>
        <w:separator/>
      </w:r>
    </w:p>
  </w:endnote>
  <w:endnote w:type="continuationSeparator" w:id="0">
    <w:p w:rsidR="00A2467E" w:rsidRDefault="00A2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85" w:rsidRDefault="009971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3E85" w:rsidRDefault="00A246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85" w:rsidRPr="00112458" w:rsidRDefault="009971D2">
    <w:pPr>
      <w:pStyle w:val="llb"/>
      <w:framePr w:wrap="around" w:vAnchor="text" w:hAnchor="margin" w:xAlign="center" w:y="1"/>
      <w:rPr>
        <w:rStyle w:val="Oldalszm"/>
        <w:rFonts w:ascii="Century Gothic" w:hAnsi="Century Gothic"/>
        <w:sz w:val="22"/>
        <w:szCs w:val="22"/>
      </w:rPr>
    </w:pPr>
    <w:r w:rsidRPr="00112458">
      <w:rPr>
        <w:rStyle w:val="Oldalszm"/>
        <w:rFonts w:ascii="Century Gothic" w:hAnsi="Century Gothic"/>
        <w:sz w:val="22"/>
        <w:szCs w:val="22"/>
      </w:rPr>
      <w:fldChar w:fldCharType="begin"/>
    </w:r>
    <w:r w:rsidRPr="00112458">
      <w:rPr>
        <w:rStyle w:val="Oldalszm"/>
        <w:rFonts w:ascii="Century Gothic" w:hAnsi="Century Gothic"/>
        <w:sz w:val="22"/>
        <w:szCs w:val="22"/>
      </w:rPr>
      <w:instrText xml:space="preserve">PAGE  </w:instrText>
    </w:r>
    <w:r w:rsidRPr="00112458">
      <w:rPr>
        <w:rStyle w:val="Oldalszm"/>
        <w:rFonts w:ascii="Century Gothic" w:hAnsi="Century Gothic"/>
        <w:sz w:val="22"/>
        <w:szCs w:val="22"/>
      </w:rPr>
      <w:fldChar w:fldCharType="separate"/>
    </w:r>
    <w:r w:rsidR="00CA6ACF">
      <w:rPr>
        <w:rStyle w:val="Oldalszm"/>
        <w:rFonts w:ascii="Century Gothic" w:hAnsi="Century Gothic"/>
        <w:noProof/>
        <w:sz w:val="22"/>
        <w:szCs w:val="22"/>
      </w:rPr>
      <w:t>6</w:t>
    </w:r>
    <w:r w:rsidRPr="00112458">
      <w:rPr>
        <w:rStyle w:val="Oldalszm"/>
        <w:rFonts w:ascii="Century Gothic" w:hAnsi="Century Gothic"/>
        <w:sz w:val="22"/>
        <w:szCs w:val="22"/>
      </w:rPr>
      <w:fldChar w:fldCharType="end"/>
    </w:r>
  </w:p>
  <w:p w:rsidR="00A43E85" w:rsidRDefault="00A246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7E" w:rsidRDefault="00A2467E">
      <w:r>
        <w:separator/>
      </w:r>
    </w:p>
  </w:footnote>
  <w:footnote w:type="continuationSeparator" w:id="0">
    <w:p w:rsidR="00A2467E" w:rsidRDefault="00A2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37"/>
    <w:multiLevelType w:val="hybridMultilevel"/>
    <w:tmpl w:val="F61C2E2E"/>
    <w:lvl w:ilvl="0" w:tplc="33886C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2"/>
    <w:rsid w:val="0019237B"/>
    <w:rsid w:val="009971D2"/>
    <w:rsid w:val="00A2467E"/>
    <w:rsid w:val="00A47451"/>
    <w:rsid w:val="00A67EE7"/>
    <w:rsid w:val="00CA6ACF"/>
    <w:rsid w:val="00DD0740"/>
    <w:rsid w:val="00D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9F3E"/>
  <w15:chartTrackingRefBased/>
  <w15:docId w15:val="{E8766C28-D70B-426E-89EC-DEC6EBE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9971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9971D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9971D2"/>
  </w:style>
  <w:style w:type="paragraph" w:styleId="Listaszerbekezds">
    <w:name w:val="List Paragraph"/>
    <w:basedOn w:val="Norml"/>
    <w:uiPriority w:val="34"/>
    <w:qFormat/>
    <w:rsid w:val="00A4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1758</Words>
  <Characters>12132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4</cp:revision>
  <dcterms:created xsi:type="dcterms:W3CDTF">2019-03-12T12:32:00Z</dcterms:created>
  <dcterms:modified xsi:type="dcterms:W3CDTF">2019-03-14T07:21:00Z</dcterms:modified>
</cp:coreProperties>
</file>